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w:t>
      </w:r>
      <w:r w:rsidR="004C6486" w:rsidRPr="004C6486">
        <w:rPr>
          <w:rFonts w:hint="eastAsia"/>
        </w:rPr>
        <w:t>alternative specifications</w:t>
      </w:r>
      <w:r w:rsidR="00670420">
        <w:t xml:space="preserve">. See </w:t>
      </w:r>
      <w:r w:rsidR="00F9768B">
        <w:t xml:space="preserve">list of outputs with brief description in </w:t>
      </w:r>
      <w:hyperlink w:anchor="_List_of_outputs_1" w:history="1">
        <w:r w:rsidR="00F9768B" w:rsidRPr="00F9768B">
          <w:rPr>
            <w:rStyle w:val="Hyperlink"/>
          </w:rPr>
          <w:t xml:space="preserve">dedicated </w:t>
        </w:r>
        <w:r w:rsidR="007F04A4">
          <w:rPr>
            <w:rStyle w:val="Hyperlink"/>
          </w:rPr>
          <w:t>table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proofErr w:type="spellStart"/>
      <w:r w:rsidR="004C6486">
        <w:rPr>
          <w:rFonts w:hint="eastAsia"/>
          <w:i/>
        </w:rPr>
        <w:t>SpecEval</w:t>
      </w:r>
      <w:proofErr w:type="spellEnd"/>
      <w:r w:rsidR="004C6486">
        <w:rPr>
          <w:rFonts w:hint="eastAsia"/>
          <w:i/>
        </w:rPr>
        <w:t xml:space="preserve"> illlustrated</w:t>
      </w:r>
      <w:r w:rsidR="00556D80" w:rsidRPr="00556D80">
        <w:rPr>
          <w:rFonts w:hint="eastAsia"/>
          <w:i/>
        </w:rPr>
        <w:t>.pdf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bookmarkStart w:id="0" w:name="_GoBack"/>
      <w:bookmarkEnd w:id="0"/>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options</w:t>
        </w:r>
      </w:hyperlink>
      <w:r>
        <w:t xml:space="preserve"> (what for what should be performed), </w:t>
      </w:r>
      <w:hyperlink w:anchor="_Performance_metric_and_1" w:history="1">
        <w:r w:rsidRPr="001B33F0">
          <w:rPr>
            <w:rStyle w:val="Hyperlink"/>
          </w:rPr>
          <w:t>performance metric and graph options</w:t>
        </w:r>
      </w:hyperlink>
      <w:r>
        <w:t xml:space="preserve"> (adjusting settings of performance tables and graphs), </w:t>
      </w:r>
      <w:hyperlink w:anchor="_Forecast_options_1" w:history="1">
        <w:r w:rsidRPr="001B33F0">
          <w:rPr>
            <w:rStyle w:val="Hyperlink"/>
          </w:rPr>
          <w:t>forecast options</w:t>
        </w:r>
      </w:hyperlink>
      <w:r>
        <w:t xml:space="preserve"> (adjusting forecasting procedure), </w:t>
      </w:r>
      <w:hyperlink w:anchor="_Date_options_1" w:history="1">
        <w:r w:rsidRPr="001B33F0">
          <w:rPr>
            <w:rStyle w:val="Hyperlink"/>
          </w:rPr>
          <w:t>date options</w:t>
        </w:r>
      </w:hyperlink>
      <w:r>
        <w:t xml:space="preserve"> (adjusting samples of procedures, tables and graphs) and </w:t>
      </w:r>
      <w:hyperlink w:anchor="_Store_options_1" w:history="1">
        <w:r w:rsidRPr="001B33F0">
          <w:rPr>
            <w:rStyle w:val="Hyperlink"/>
          </w:rPr>
          <w:t>store options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1" w:name="_General_options"/>
      <w:bookmarkEnd w:id="1"/>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argument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6B21B0" w:rsidP="006B21B0">
            <w:pPr>
              <w:pStyle w:val="TableContents"/>
              <w:rPr>
                <w:rFonts w:hint="eastAsia"/>
              </w:rPr>
            </w:pPr>
            <w:r w:rsidRPr="006B21B0">
              <w:rPr>
                <w:b/>
              </w:rPr>
              <w:t>Note</w:t>
            </w:r>
            <w:r>
              <w:t>: Use option ‘REPORT_NAME’ for setting the name and path and for default names and paths.</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Pr="00D6774E" w:rsidRDefault="00D6774E" w:rsidP="008363EB">
            <w:pPr>
              <w:pStyle w:val="TableContents"/>
              <w:rPr>
                <w:i/>
              </w:rPr>
            </w:pPr>
            <w:r>
              <w:t>DISPLAY=</w:t>
            </w:r>
            <w:proofErr w:type="spellStart"/>
            <w:r w:rsidRPr="00D6774E">
              <w:rPr>
                <w:i/>
              </w:rPr>
              <w:t>arg</w:t>
            </w:r>
            <w:proofErr w:type="spellEnd"/>
          </w:p>
          <w:p w:rsidR="00D6774E" w:rsidRDefault="00D6774E" w:rsidP="008363EB">
            <w:pPr>
              <w:pStyle w:val="TableContents"/>
              <w:rPr>
                <w:rFonts w:hint="eastAsia"/>
              </w:rPr>
            </w:pPr>
            <w:r w:rsidRPr="00D6774E">
              <w:rPr>
                <w:i/>
              </w:rPr>
              <w:t>(default=”t”)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77451" w:rsidRDefault="00D6774E" w:rsidP="00577451">
            <w:pPr>
              <w:pStyle w:val="TableContents"/>
              <w:rPr>
                <w:rFonts w:hint="eastAsia"/>
              </w:rPr>
            </w:pPr>
            <w:r>
              <w:t xml:space="preserve">Indicator whether the spool should be displayed after execution. </w:t>
            </w:r>
            <w:proofErr w:type="spellStart"/>
            <w:r>
              <w:t>Arg</w:t>
            </w:r>
            <w:proofErr w:type="spellEnd"/>
            <w:r>
              <w:t xml:space="preserve"> may be “t” (</w:t>
            </w:r>
            <w:proofErr w:type="spellStart"/>
            <w:r>
              <w:t>tru</w:t>
            </w:r>
            <w:proofErr w:type="spellEnd"/>
            <w:r>
              <w:t>) or “f” (false).</w:t>
            </w:r>
          </w:p>
        </w:tc>
      </w:tr>
      <w:tr w:rsidR="00D6774E" w:rsidTr="00D6774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D6774E" w:rsidRDefault="00D6774E" w:rsidP="0082051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D6774E" w:rsidRDefault="00D6774E" w:rsidP="0082051B">
            <w:pPr>
              <w:pStyle w:val="TableContents"/>
              <w:rPr>
                <w:rFonts w:hint="eastAsia"/>
              </w:rPr>
            </w:pPr>
            <w:r>
              <w:t>Indicator that user dialog should be issued. Relevant when executed from program.</w:t>
            </w:r>
          </w:p>
          <w:p w:rsidR="00D6774E" w:rsidRDefault="00D6774E" w:rsidP="0082051B">
            <w:pPr>
              <w:pStyle w:val="TableContents"/>
              <w:rPr>
                <w:rFonts w:hint="eastAsia"/>
              </w:rPr>
            </w:pPr>
            <w:r w:rsidRPr="00577451">
              <w:rPr>
                <w:b/>
              </w:rPr>
              <w:t>Note</w:t>
            </w:r>
            <w:r>
              <w:t>: Use ‘NOPROMPT’ if executing without any option and wish not to have dialog displayed.</w:t>
            </w:r>
          </w:p>
        </w:tc>
      </w:tr>
    </w:tbl>
    <w:p w:rsidR="00524ED9" w:rsidRDefault="00524ED9" w:rsidP="001B33F0">
      <w:pPr>
        <w:pStyle w:val="Heading2"/>
        <w:rPr>
          <w:rFonts w:hint="eastAsia"/>
        </w:rPr>
      </w:pPr>
      <w:bookmarkStart w:id="2" w:name="_Performance_metric_and"/>
      <w:bookmarkEnd w:id="2"/>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3" w:name="_Performance_metric_and_1"/>
      <w:bookmarkEnd w:id="3"/>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244645" w:rsidTr="00577451">
        <w:trPr>
          <w:trHeight w:val="907"/>
        </w:trPr>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244645" w:rsidRDefault="00244645" w:rsidP="00F65387">
            <w:pPr>
              <w:pStyle w:val="TableContents"/>
              <w:rPr>
                <w:rFonts w:hint="eastAsia"/>
                <w:i/>
              </w:rPr>
            </w:pPr>
            <w:r>
              <w:t>TRANS=</w:t>
            </w:r>
            <w:proofErr w:type="spellStart"/>
            <w:r>
              <w:rPr>
                <w:i/>
              </w:rPr>
              <w:t>arg</w:t>
            </w:r>
            <w:proofErr w:type="spellEnd"/>
          </w:p>
          <w:p w:rsidR="00244645" w:rsidRDefault="00244645" w:rsidP="00F65387">
            <w:pPr>
              <w:pStyle w:val="TableContents"/>
              <w:rPr>
                <w:rFonts w:hint="eastAsia"/>
              </w:rPr>
            </w:pPr>
            <w:r>
              <w:rPr>
                <w:i/>
              </w:rPr>
              <w:t>(default=”level”)</w:t>
            </w: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244645" w:rsidRDefault="00244645" w:rsidP="00F65387">
            <w:pPr>
              <w:pStyle w:val="TableContents"/>
              <w:rPr>
                <w:rFonts w:hint="eastAsia"/>
              </w:rPr>
            </w:pPr>
            <w:r>
              <w:t>Transformation to be used in graphs: “level” (level of series = no transformation applied), “growth” (annualized growth rate of series), ”spread” (spread between series and benchmark series specified in option ‘</w:t>
            </w:r>
            <w:proofErr w:type="spellStart"/>
            <w:r>
              <w:t>graph_bench</w:t>
            </w:r>
            <w:proofErr w:type="spellEnd"/>
            <w:r>
              <w:t>’), ”ratio” (ratio between series and benchmark series specified in option ‘</w:t>
            </w:r>
            <w:proofErr w:type="spellStart"/>
            <w:r>
              <w:t>graph_bench</w:t>
            </w:r>
            <w:proofErr w:type="spellEnd"/>
            <w:r>
              <w:t>’), “index”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Pr="00A44D66" w:rsidRDefault="00244645" w:rsidP="00F65387">
            <w:pPr>
              <w:pStyle w:val="TableContents"/>
              <w:rPr>
                <w:rFonts w:hint="eastAsia"/>
              </w:rPr>
            </w:pPr>
            <w:r>
              <w:t>GRAPH_BENCH=</w:t>
            </w:r>
            <w:proofErr w:type="spellStart"/>
            <w:r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Series to use as benchmark when graphing forecasts in terms of spread or ratio.</w:t>
            </w:r>
          </w:p>
        </w:tc>
      </w:tr>
      <w:tr w:rsidR="0024464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i/>
              </w:rPr>
            </w:pPr>
            <w:r>
              <w:t>INDEX_PERIOD=</w:t>
            </w:r>
            <w:proofErr w:type="spellStart"/>
            <w:r>
              <w:rPr>
                <w:i/>
              </w:rPr>
              <w:t>arg</w:t>
            </w:r>
            <w:proofErr w:type="spellEnd"/>
          </w:p>
          <w:p w:rsidR="00244645" w:rsidRPr="00FC1AC1" w:rsidRDefault="00244645" w:rsidP="00F65387">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rPr>
            </w:pPr>
            <w:r>
              <w:t>Period to use as index when graphing forecasts in terms of index.</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244645" w:rsidRDefault="00244645" w:rsidP="00F65387">
            <w:pPr>
              <w:pStyle w:val="TableContents"/>
              <w:rPr>
                <w:rFonts w:hint="eastAsia"/>
              </w:rPr>
            </w:pPr>
            <w:r w:rsidRPr="00F54CDE">
              <w:rPr>
                <w:b/>
              </w:rPr>
              <w:t>Note</w:t>
            </w:r>
            <w:r>
              <w:t>: Can include transformations.</w:t>
            </w:r>
          </w:p>
          <w:p w:rsidR="00244645" w:rsidRDefault="00244645" w:rsidP="00F65387">
            <w:pPr>
              <w:pStyle w:val="TableContents"/>
              <w:rPr>
                <w:rFonts w:hint="eastAsia"/>
              </w:rPr>
            </w:pPr>
            <w:r w:rsidRPr="00F54CDE">
              <w:rPr>
                <w:b/>
              </w:rPr>
              <w:t>Note</w:t>
            </w:r>
            <w:r>
              <w:t>: Can include ‘[R]’ at the end of series to indicate right axis assignment.</w:t>
            </w:r>
          </w:p>
        </w:tc>
      </w:tr>
      <w:tr w:rsidR="00244645"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rPr>
            </w:pPr>
            <w:r>
              <w:t>Space-delimited list of additional series that should be added into scenario forecast graphs.</w:t>
            </w:r>
          </w:p>
          <w:p w:rsidR="00244645" w:rsidRDefault="00244645" w:rsidP="00F65387">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244645" w:rsidRDefault="00244645" w:rsidP="00F65387">
            <w:pPr>
              <w:pStyle w:val="TableContents"/>
              <w:rPr>
                <w:rFonts w:hint="eastAsia"/>
              </w:rPr>
            </w:pPr>
            <w:r w:rsidRPr="00F54CDE">
              <w:rPr>
                <w:b/>
              </w:rPr>
              <w:t>Note</w:t>
            </w:r>
            <w:r>
              <w:t>: Cannot include transformations.</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i/>
              </w:rPr>
            </w:pPr>
            <w:r>
              <w:t>INCLUDE_ORIGINAL =</w:t>
            </w:r>
            <w:proofErr w:type="spellStart"/>
            <w:r>
              <w:rPr>
                <w:i/>
              </w:rPr>
              <w:t>arg</w:t>
            </w:r>
            <w:proofErr w:type="spellEnd"/>
          </w:p>
          <w:p w:rsidR="00244645" w:rsidRDefault="00244645" w:rsidP="00F65387">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244645" w:rsidRDefault="00244645" w:rsidP="00F65387">
            <w:pPr>
              <w:pStyle w:val="TableContents"/>
              <w:rPr>
                <w:rFonts w:hint="eastAsia"/>
              </w:rPr>
            </w:pPr>
            <w:r w:rsidRPr="00F54CDE">
              <w:rPr>
                <w:b/>
              </w:rPr>
              <w:t>Note</w:t>
            </w:r>
            <w:r>
              <w:t>: The original forecast has to be located in the workfile page. If it is not found the program will ignore this option.</w:t>
            </w:r>
          </w:p>
        </w:tc>
      </w:tr>
      <w:tr w:rsidR="0024464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244645" w:rsidRDefault="00244645" w:rsidP="00F65387">
            <w:pPr>
              <w:pStyle w:val="TableContents"/>
              <w:keepNext/>
              <w:keepLines/>
              <w:rPr>
                <w:rFonts w:hint="eastAsia"/>
                <w:i/>
              </w:rPr>
            </w:pPr>
            <w:r>
              <w:t>INCLUDE_BASELINE =</w:t>
            </w:r>
            <w:proofErr w:type="spellStart"/>
            <w:r>
              <w:rPr>
                <w:i/>
              </w:rPr>
              <w:t>arg</w:t>
            </w:r>
            <w:proofErr w:type="spellEnd"/>
          </w:p>
          <w:p w:rsidR="00244645" w:rsidRDefault="00244645" w:rsidP="00F65387">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244645" w:rsidRDefault="00244645" w:rsidP="00F65387">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244645" w:rsidRDefault="00244645" w:rsidP="00F65387">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 xml:space="preserve">Space-separated list of additional scenarios to be included in the scenario graphs. </w:t>
            </w:r>
          </w:p>
          <w:p w:rsidR="00244645" w:rsidRDefault="00244645" w:rsidP="00F65387">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4" w:name="_Forecast_options"/>
      <w:bookmarkEnd w:id="4"/>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5" w:name="_Forecast_options_1"/>
      <w:bookmarkEnd w:id="5"/>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9087B" w:rsidTr="00E9087B">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 xml:space="preserve">Base variable string. </w:t>
            </w:r>
          </w:p>
          <w:p w:rsidR="00E9087B" w:rsidRDefault="00E9087B" w:rsidP="009A792B">
            <w:pPr>
              <w:pStyle w:val="TableContents"/>
              <w:rPr>
                <w:rFonts w:hint="eastAsia"/>
              </w:rPr>
            </w:pPr>
            <w:r w:rsidRPr="00F54CDE">
              <w:rPr>
                <w:b/>
              </w:rPr>
              <w:t>Note</w:t>
            </w:r>
            <w:r>
              <w:t>: Relevant for VAR models. If not specified then the first endogenous variable will be used.</w:t>
            </w:r>
          </w:p>
        </w:tc>
      </w:tr>
      <w:tr w:rsidR="00E9087B" w:rsidTr="001B1B25">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i/>
                <w:iCs/>
              </w:rPr>
            </w:pPr>
            <w:r>
              <w:t xml:space="preserve">OOS = </w:t>
            </w:r>
            <w:proofErr w:type="spellStart"/>
            <w:r>
              <w:rPr>
                <w:i/>
                <w:iCs/>
              </w:rPr>
              <w:t>arg</w:t>
            </w:r>
            <w:proofErr w:type="spellEnd"/>
          </w:p>
          <w:p w:rsidR="00E9087B" w:rsidRDefault="00E9087B" w:rsidP="009A792B">
            <w:pPr>
              <w:pStyle w:val="TableContents"/>
              <w:rPr>
                <w:rFonts w:hint="eastAsia"/>
                <w:i/>
                <w:iCs/>
              </w:rPr>
            </w:pPr>
            <w:r>
              <w:rPr>
                <w:i/>
                <w:iCs/>
              </w:rPr>
              <w:t>(default=</w:t>
            </w:r>
          </w:p>
          <w:p w:rsidR="00E9087B" w:rsidRDefault="00E9087B" w:rsidP="009A792B">
            <w:pPr>
              <w:pStyle w:val="TableContents"/>
              <w:rPr>
                <w:rFonts w:hint="eastAsia"/>
                <w:i/>
                <w:iCs/>
              </w:rPr>
            </w:pPr>
            <w:r>
              <w:rPr>
                <w:i/>
                <w:iCs/>
              </w:rPr>
              <w:t>”t” (for command execution)</w:t>
            </w:r>
          </w:p>
          <w:p w:rsidR="00E9087B" w:rsidRDefault="00E9087B" w:rsidP="009A792B">
            <w:pPr>
              <w:pStyle w:val="TableContents"/>
              <w:rPr>
                <w:rFonts w:hint="eastAsia"/>
              </w:rPr>
            </w:pPr>
            <w:r>
              <w:rPr>
                <w:i/>
                <w:iCs/>
              </w:rPr>
              <w:t>”f“ (for GUI execution))</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Coma-separated list of scenario aliases for which conditional scenario forecasts should be created.</w:t>
            </w:r>
          </w:p>
          <w:p w:rsidR="00E9087B" w:rsidRDefault="00E9087B" w:rsidP="009A792B">
            <w:pPr>
              <w:pStyle w:val="TableContents"/>
              <w:rPr>
                <w:rFonts w:hint="eastAsia"/>
              </w:rPr>
            </w:pPr>
            <w:r w:rsidRPr="00F54CDE">
              <w:rPr>
                <w:b/>
              </w:rPr>
              <w:t>Note</w:t>
            </w:r>
            <w:r>
              <w:t>: By default first scenario is used as base scenario against which other scenarios are compared, when relevant.</w:t>
            </w:r>
          </w:p>
          <w:p w:rsidR="00E9087B" w:rsidRDefault="00E9087B" w:rsidP="009A792B">
            <w:pPr>
              <w:pStyle w:val="TableContents"/>
              <w:rPr>
                <w:rFonts w:hint="eastAsia"/>
              </w:rPr>
            </w:pPr>
            <w:r w:rsidRPr="00F54CDE">
              <w:rPr>
                <w:b/>
              </w:rPr>
              <w:t>Note</w:t>
            </w:r>
            <w:r>
              <w:t>: Additional equations from option ‘</w:t>
            </w:r>
            <w:proofErr w:type="spellStart"/>
            <w:r>
              <w:t>eq_list_add</w:t>
            </w:r>
            <w:proofErr w:type="spellEnd"/>
            <w:r>
              <w:t>’ are included in the forecasting model.</w:t>
            </w:r>
          </w:p>
        </w:tc>
      </w:tr>
      <w:tr w:rsidR="00E9087B" w:rsidTr="00577451">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NOSHOCK_SCENARIO=</w:t>
            </w:r>
            <w:proofErr w:type="spellStart"/>
            <w:r w:rsidRPr="00577451">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no-shock path for shock response graphs.</w:t>
            </w:r>
          </w:p>
          <w:p w:rsidR="00E9087B" w:rsidRDefault="00E9087B" w:rsidP="009A792B">
            <w:pPr>
              <w:pStyle w:val="TableContents"/>
              <w:rPr>
                <w:rFonts w:hint="eastAsia"/>
              </w:rPr>
            </w:pPr>
            <w:r w:rsidRPr="00577451">
              <w:rPr>
                <w:b/>
              </w:rPr>
              <w:t>Note</w:t>
            </w:r>
            <w:r>
              <w:t>: If no no-shock scenario is specified then actuals will be used.</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SHOCK_SCENARIO</w:t>
            </w:r>
            <w:r w:rsidR="002155D2">
              <w:t>=</w:t>
            </w:r>
            <w:proofErr w:type="spellStart"/>
            <w:r w:rsidR="002155D2" w:rsidRPr="002155D2">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shock path for shock response graphs.</w:t>
            </w:r>
          </w:p>
          <w:p w:rsidR="00E9087B" w:rsidRDefault="00E9087B" w:rsidP="009A792B">
            <w:pPr>
              <w:pStyle w:val="TableContents"/>
              <w:rPr>
                <w:rFonts w:hint="eastAsia"/>
              </w:rPr>
            </w:pPr>
            <w:r w:rsidRPr="00577451">
              <w:rPr>
                <w:b/>
              </w:rPr>
              <w:t>Note</w:t>
            </w:r>
            <w:r>
              <w:t>: If no shock scenario is specified then independent variables/</w:t>
            </w:r>
            <w:proofErr w:type="spellStart"/>
            <w:r>
              <w:t>regressors</w:t>
            </w:r>
            <w:proofErr w:type="spellEnd"/>
            <w:r>
              <w:t xml:space="preserve"> will be shocked by 1 standard deviation.</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9A792B">
            <w:pPr>
              <w:pStyle w:val="TableContents"/>
              <w:rPr>
                <w:rFonts w:hint="eastAsia"/>
                <w:i/>
              </w:rPr>
            </w:pPr>
            <w:r>
              <w:t>SHOCK_TYPE=</w:t>
            </w:r>
            <w:proofErr w:type="spellStart"/>
            <w:r w:rsidRPr="00E9087B">
              <w:rPr>
                <w:i/>
              </w:rPr>
              <w:t>arg</w:t>
            </w:r>
            <w:proofErr w:type="spellEnd"/>
          </w:p>
          <w:p w:rsidR="00CF151B" w:rsidRDefault="00CF151B" w:rsidP="009A792B">
            <w:pPr>
              <w:pStyle w:val="TableContents"/>
              <w:rPr>
                <w:rFonts w:hint="eastAsia"/>
              </w:rPr>
            </w:pPr>
            <w:r w:rsidRPr="003F7C96">
              <w:rPr>
                <w:i/>
              </w:rPr>
              <w:t>(default=”</w:t>
            </w:r>
            <w:r>
              <w:rPr>
                <w:i/>
              </w:rPr>
              <w:t>permanent</w:t>
            </w:r>
            <w:r w:rsidRPr="003F7C9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7C2051">
            <w:pPr>
              <w:pStyle w:val="TableContents"/>
              <w:rPr>
                <w:rFonts w:hint="eastAsia"/>
              </w:rPr>
            </w:pPr>
            <w:r>
              <w:t xml:space="preserve">Type of shock in shock response graphs. </w:t>
            </w:r>
            <w:proofErr w:type="spellStart"/>
            <w:r>
              <w:t>Arg</w:t>
            </w:r>
            <w:proofErr w:type="spellEnd"/>
            <w:r>
              <w:t xml:space="preserve"> may “transitory”</w:t>
            </w:r>
            <w:r w:rsidR="007C2051">
              <w:t xml:space="preserve"> </w:t>
            </w:r>
            <w:r>
              <w:t>or</w:t>
            </w:r>
            <w:r w:rsidR="007C2051">
              <w:t xml:space="preserve"> </w:t>
            </w:r>
            <w:r>
              <w:t xml:space="preserve">“permanent”. </w:t>
            </w:r>
          </w:p>
        </w:tc>
      </w:tr>
      <w:tr w:rsidR="00CF151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AUTO_SELECT=</w:t>
            </w:r>
            <w:proofErr w:type="spellStart"/>
            <w:r w:rsidRPr="00A44D66">
              <w:rPr>
                <w:i/>
              </w:rPr>
              <w:t>arg</w:t>
            </w:r>
            <w:proofErr w:type="spellEnd"/>
          </w:p>
          <w:p w:rsidR="00CF151B" w:rsidRDefault="00CF151B" w:rsidP="00F54CDE">
            <w:pPr>
              <w:pStyle w:val="TableContents"/>
              <w:rPr>
                <w:rFonts w:hint="eastAsia"/>
              </w:rPr>
            </w:pPr>
            <w:r w:rsidRPr="003F7C96">
              <w:rPr>
                <w:i/>
              </w:rPr>
              <w:t>(default=”f”)</w:t>
            </w:r>
            <w:r>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Applicable for VAR models when automatic lag selection should be performed. </w:t>
            </w:r>
            <w:proofErr w:type="spellStart"/>
            <w:r>
              <w:t>Arg</w:t>
            </w:r>
            <w:proofErr w:type="spellEnd"/>
            <w:r>
              <w:t xml:space="preserve"> may be “t” (true) or “f” (false).</w:t>
            </w:r>
          </w:p>
          <w:p w:rsidR="00CF151B" w:rsidRDefault="00CF151B" w:rsidP="008363EB">
            <w:pPr>
              <w:pStyle w:val="TableContents"/>
              <w:rPr>
                <w:rFonts w:hint="eastAsia"/>
              </w:rPr>
            </w:pPr>
            <w:r>
              <w:t>In case of multiple specifications one can specify comma separated list with argument for each specification.</w:t>
            </w:r>
          </w:p>
          <w:p w:rsidR="00CF151B" w:rsidRDefault="00CF151B" w:rsidP="00E75A00">
            <w:pPr>
              <w:pStyle w:val="TableContents"/>
              <w:rPr>
                <w:rFonts w:hint="eastAsia"/>
              </w:rPr>
            </w:pPr>
            <w:r w:rsidRPr="00F54CDE">
              <w:rPr>
                <w:b/>
              </w:rPr>
              <w:t>Note</w:t>
            </w:r>
            <w:r>
              <w:t>:  For equations estimated by AUTOARMA the specifications for AUTOARMA have to be stored in as attribute of the equation with name “</w:t>
            </w:r>
            <w:proofErr w:type="spellStart"/>
            <w:r>
              <w:t>selection_info</w:t>
            </w:r>
            <w:proofErr w:type="spellEnd"/>
            <w:r>
              <w:t>”. The relevant info is “</w:t>
            </w:r>
            <w:proofErr w:type="spellStart"/>
            <w:r>
              <w:t>maxar</w:t>
            </w:r>
            <w:proofErr w:type="spellEnd"/>
            <w:r>
              <w:t>”,”</w:t>
            </w:r>
            <w:proofErr w:type="spellStart"/>
            <w:r>
              <w:t>maxma</w:t>
            </w:r>
            <w:proofErr w:type="spellEnd"/>
            <w:r>
              <w:t>” and “info” (e.g. “</w:t>
            </w:r>
            <w:proofErr w:type="spellStart"/>
            <w:r>
              <w:t>maxar</w:t>
            </w:r>
            <w:proofErr w:type="spellEnd"/>
            <w:r>
              <w:t>=4</w:t>
            </w:r>
            <w:proofErr w:type="gramStart"/>
            <w:r>
              <w:t>,maxma</w:t>
            </w:r>
            <w:proofErr w:type="gramEnd"/>
            <w:r>
              <w:t>=2,info=”</w:t>
            </w:r>
            <w:proofErr w:type="spellStart"/>
            <w:r>
              <w:t>aic</w:t>
            </w:r>
            <w:proofErr w:type="spellEnd"/>
            <w:r>
              <w:t xml:space="preserve">”). If not specified the default settings will be used.  </w:t>
            </w:r>
          </w:p>
          <w:p w:rsidR="00CF151B" w:rsidRDefault="00CF151B" w:rsidP="00A7708F">
            <w:pPr>
              <w:pStyle w:val="TableContents"/>
              <w:rPr>
                <w:rFonts w:hint="eastAsia"/>
              </w:rPr>
            </w:pPr>
            <w:r w:rsidRPr="00F54CDE">
              <w:rPr>
                <w:b/>
              </w:rPr>
              <w:t>Note</w:t>
            </w:r>
            <w:r>
              <w:t>: For VAR model the specifications for lag length have to be stored in as attribute of the equation with name “</w:t>
            </w:r>
            <w:proofErr w:type="spellStart"/>
            <w:r>
              <w:t>selection_info</w:t>
            </w:r>
            <w:proofErr w:type="spellEnd"/>
            <w:r>
              <w:t>”. The relevant info is “</w:t>
            </w:r>
            <w:proofErr w:type="spellStart"/>
            <w:r>
              <w:t>maxlag</w:t>
            </w:r>
            <w:proofErr w:type="spellEnd"/>
            <w:r>
              <w:t xml:space="preserve">” and “info”, with the latter equal to either </w:t>
            </w:r>
            <w:proofErr w:type="gramStart"/>
            <w:r>
              <w:t xml:space="preserve">of  </w:t>
            </w:r>
            <w:r w:rsidRPr="008F0918">
              <w:rPr>
                <w:rFonts w:hint="eastAsia"/>
              </w:rPr>
              <w:t>LR</w:t>
            </w:r>
            <w:r>
              <w:t>,</w:t>
            </w:r>
            <w:r w:rsidRPr="008F0918">
              <w:rPr>
                <w:rFonts w:hint="eastAsia"/>
              </w:rPr>
              <w:t>FPE</w:t>
            </w:r>
            <w:r>
              <w:t>,</w:t>
            </w:r>
            <w:r w:rsidRPr="008F0918">
              <w:rPr>
                <w:rFonts w:hint="eastAsia"/>
              </w:rPr>
              <w:t>AIC</w:t>
            </w:r>
            <w:r>
              <w:t>,</w:t>
            </w:r>
            <w:r w:rsidRPr="008F0918">
              <w:rPr>
                <w:rFonts w:hint="eastAsia"/>
              </w:rPr>
              <w:t>SC</w:t>
            </w:r>
            <w:proofErr w:type="gramEnd"/>
            <w:r>
              <w:t xml:space="preserve">/SIC or </w:t>
            </w:r>
            <w:r w:rsidRPr="008F0918">
              <w:rPr>
                <w:rFonts w:hint="eastAsia"/>
              </w:rPr>
              <w:t>HQ</w:t>
            </w:r>
            <w:r>
              <w:t>. If not specified then maximum lag of 4 and LR will be used.  The selection info can also include optional argument “stability”, in which case the number of lags will be adjusted down until model which will not produce explosive forecast is found.</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i/>
              </w:rPr>
            </w:pPr>
            <w:r>
              <w:t>CUSTOM_REEST=</w:t>
            </w:r>
            <w:proofErr w:type="spellStart"/>
            <w:r w:rsidRPr="00BF577B">
              <w:rPr>
                <w:i/>
              </w:rPr>
              <w:t>arg</w:t>
            </w:r>
            <w:proofErr w:type="spellEnd"/>
          </w:p>
          <w:p w:rsidR="00CF151B" w:rsidRDefault="00CF151B"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F151B" w:rsidRDefault="00CF151B" w:rsidP="00524ED9">
            <w:pPr>
              <w:pStyle w:val="TableContents"/>
              <w:keepNext/>
              <w:keepLines/>
              <w:rPr>
                <w:rFonts w:hint="eastAsia"/>
              </w:rPr>
            </w:pPr>
            <w:r w:rsidRPr="00F54CDE">
              <w:rPr>
                <w:b/>
              </w:rPr>
              <w:t>Note</w:t>
            </w:r>
            <w:r>
              <w:t>: custom re-estimation should be performed in subroutine ‘</w:t>
            </w:r>
            <w:proofErr w:type="spellStart"/>
            <w:r>
              <w:t>custom_reestimation</w:t>
            </w:r>
            <w:proofErr w:type="spellEnd"/>
            <w:r>
              <w:t xml:space="preserve">’ stored in ‘custom_ </w:t>
            </w:r>
            <w:proofErr w:type="spellStart"/>
            <w:r>
              <w:t>reestimation.prg</w:t>
            </w:r>
            <w:proofErr w:type="spellEnd"/>
            <w:r>
              <w:t>’ program located in the folder from which the master program is executed. As a result the program has to create model object called ‘</w:t>
            </w:r>
            <w:proofErr w:type="spellStart"/>
            <w:r>
              <w:t>m_speceval</w:t>
            </w:r>
            <w:proofErr w:type="spellEnd"/>
            <w:r>
              <w:t>’ which will be able to produce forecasts for given base variable. See minimal example of such program. By default, the custom re-estimation will produce forecasts from random walk without drift. In addition the program should store also the equations used in each period, stored as {</w:t>
            </w:r>
            <w:proofErr w:type="spellStart"/>
            <w:r>
              <w:t>st_spec_name</w:t>
            </w:r>
            <w:proofErr w:type="spellEnd"/>
            <w:r>
              <w:t>}_</w:t>
            </w:r>
            <w:proofErr w:type="spellStart"/>
            <w:r>
              <w:t>reest</w:t>
            </w:r>
            <w:proofErr w:type="spellEnd"/>
            <w:r>
              <w:t>{!</w:t>
            </w:r>
            <w:proofErr w:type="spellStart"/>
            <w:r>
              <w:t>fp</w:t>
            </w:r>
            <w:proofErr w:type="spellEnd"/>
            <w:r>
              <w:t xml:space="preserve">}. </w:t>
            </w:r>
          </w:p>
        </w:tc>
      </w:tr>
      <w:tr w:rsidR="00CF151B"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 xml:space="preserve">List of additional equations/identities for right-hand-side variables to be included in the forecasting model. </w:t>
            </w:r>
          </w:p>
          <w:p w:rsidR="00CF151B" w:rsidRDefault="00CF151B" w:rsidP="008363EB">
            <w:pPr>
              <w:pStyle w:val="TableContents"/>
              <w:rPr>
                <w:rFonts w:hint="eastAsia"/>
              </w:rPr>
            </w:pPr>
            <w:r w:rsidRPr="00F54CDE">
              <w:rPr>
                <w:b/>
              </w:rPr>
              <w:t>Note</w:t>
            </w:r>
            <w:r>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the added variables will not be provided. </w:t>
            </w:r>
          </w:p>
          <w:p w:rsidR="00CF151B" w:rsidRDefault="00CF151B" w:rsidP="008363EB">
            <w:pPr>
              <w:pStyle w:val="TableContents"/>
              <w:rPr>
                <w:rFonts w:hint="eastAsia"/>
              </w:rPr>
            </w:pPr>
            <w:r w:rsidRPr="00F54CDE">
              <w:rPr>
                <w:b/>
              </w:rPr>
              <w:t>Note</w:t>
            </w:r>
            <w:r>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CF151B" w:rsidRDefault="00CF151B" w:rsidP="008363EB">
            <w:pPr>
              <w:pStyle w:val="TableContents"/>
              <w:rPr>
                <w:rFonts w:hint="eastAsia"/>
              </w:rPr>
            </w:pPr>
            <w:r w:rsidRPr="00F54CDE">
              <w:rPr>
                <w:b/>
              </w:rPr>
              <w:t>Note</w:t>
            </w:r>
            <w:r>
              <w:t xml:space="preserve">: If no equation/identity is </w:t>
            </w:r>
            <w:proofErr w:type="gramStart"/>
            <w:r>
              <w:t>identified/located</w:t>
            </w:r>
            <w:proofErr w:type="gramEnd"/>
            <w:r>
              <w:t xml:space="preserve"> then the program will try to determine the equation/identity from separate model object specified in ‘MODEL_NAME_ADD’ option; in such situation the underlying variable should be specified.</w:t>
            </w:r>
          </w:p>
          <w:p w:rsidR="00CF151B" w:rsidRPr="007A2AD0" w:rsidRDefault="00CF151B" w:rsidP="0031501A">
            <w:pPr>
              <w:pStyle w:val="TableContents"/>
              <w:rPr>
                <w:rFonts w:hint="eastAsia"/>
              </w:rPr>
            </w:pPr>
            <w:r w:rsidRPr="00F54CDE">
              <w:rPr>
                <w:b/>
              </w:rPr>
              <w:t>Note</w:t>
            </w:r>
            <w:r>
              <w:t>: By default the equations will be treated as the main equation with respect to in-sample/out-of-sample forecasting. User can change that by appending “[OOS]” or “[IS]” at the end of each additional equation name.</w:t>
            </w:r>
          </w:p>
        </w:tc>
      </w:tr>
      <w:tr w:rsidR="00CF151B"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CF151B"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FORECASTED_IVARIABLES=</w:t>
            </w:r>
            <w:proofErr w:type="spellStart"/>
            <w:r w:rsidRPr="00F54CDE">
              <w:rPr>
                <w:i/>
              </w:rPr>
              <w:t>arg</w:t>
            </w:r>
            <w:proofErr w:type="spellEnd"/>
            <w:r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Comma-separated list of independent variables for which forecasts should be used instead of history.</w:t>
            </w:r>
          </w:p>
          <w:p w:rsidR="00CF151B" w:rsidRDefault="00CF151B" w:rsidP="008363EB">
            <w:pPr>
              <w:pStyle w:val="TableContents"/>
              <w:rPr>
                <w:rFonts w:hint="eastAsia"/>
              </w:rPr>
            </w:pPr>
            <w:r w:rsidRPr="00F54CDE">
              <w:rPr>
                <w:b/>
              </w:rPr>
              <w:t>Note</w:t>
            </w:r>
            <w:r>
              <w:t>: Forecasts are provided in the workspace with alias ‘_</w:t>
            </w:r>
            <w:proofErr w:type="gramStart"/>
            <w:r>
              <w:t>F{</w:t>
            </w:r>
            <w:proofErr w:type="gramEnd"/>
            <w:r>
              <w:t xml:space="preserve">FSTART}’, where ‘FSTART’ is the date corresponding to first forecasts period (e.g. “MRR_F2008M01” for forecast for series MRR starting in January of 2008). </w:t>
            </w:r>
          </w:p>
        </w:tc>
      </w:tr>
      <w:tr w:rsidR="00CF151B"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SCENARIO_DATALOAD=</w:t>
            </w:r>
            <w:proofErr w:type="spellStart"/>
            <w:r w:rsidRPr="001D6DEC">
              <w:rPr>
                <w:i/>
              </w:rPr>
              <w:t>arg</w:t>
            </w:r>
            <w:proofErr w:type="spellEnd"/>
          </w:p>
          <w:p w:rsidR="00CF151B" w:rsidRPr="001D6DEC" w:rsidRDefault="00CF151B"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CF151B" w:rsidRDefault="00CF151B" w:rsidP="001D6DEC">
            <w:pPr>
              <w:pStyle w:val="TableContents"/>
              <w:rPr>
                <w:rFonts w:hint="eastAsia"/>
              </w:rPr>
            </w:pPr>
            <w:r w:rsidRPr="00F54CDE">
              <w:rPr>
                <w:b/>
              </w:rPr>
              <w:t>Note</w:t>
            </w:r>
            <w:r>
              <w:t xml:space="preserve">: </w:t>
            </w:r>
            <w:proofErr w:type="spellStart"/>
            <w:r>
              <w:t>Dataload</w:t>
            </w:r>
            <w:proofErr w:type="spellEnd"/>
            <w:r>
              <w:t xml:space="preserve"> is performed via subroutine ‘</w:t>
            </w:r>
            <w:proofErr w:type="spellStart"/>
            <w:r>
              <w:t>cfp_</w:t>
            </w:r>
            <w:r w:rsidRPr="001D6DEC">
              <w:rPr>
                <w:rFonts w:hint="eastAsia"/>
              </w:rPr>
              <w:t>scenario_dataload</w:t>
            </w:r>
            <w:proofErr w:type="spellEnd"/>
            <w:r>
              <w:t>’ which should be included in the execution program. See minimal example of such program.</w:t>
            </w:r>
          </w:p>
        </w:tc>
      </w:tr>
      <w:tr w:rsidR="00CF151B"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CF151B" w:rsidRDefault="00CF151B" w:rsidP="00297C62">
            <w:pPr>
              <w:pStyle w:val="TableContents"/>
              <w:rPr>
                <w:rFonts w:hint="eastAsia"/>
              </w:rPr>
            </w:pPr>
            <w:r>
              <w:t>ELIMINATE_MULTICOL=</w:t>
            </w:r>
            <w:proofErr w:type="spellStart"/>
            <w:r w:rsidRPr="00F54CDE">
              <w:rPr>
                <w:i/>
              </w:rPr>
              <w:t>arg</w:t>
            </w:r>
            <w:proofErr w:type="spellEnd"/>
          </w:p>
          <w:p w:rsidR="00CF151B" w:rsidRPr="00BB7A69" w:rsidRDefault="00CF151B" w:rsidP="00371900">
            <w:pPr>
              <w:pStyle w:val="TableContents"/>
              <w:rPr>
                <w:rFonts w:hint="eastAsia"/>
                <w:i/>
              </w:rPr>
            </w:pPr>
            <w:r w:rsidRPr="00BB7A69">
              <w:rPr>
                <w:i/>
              </w:rPr>
              <w:t>(default=”</w:t>
            </w:r>
            <w:r>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CF151B" w:rsidRDefault="00CF151B"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CF151B"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IGNORE_ERRORS=</w:t>
            </w:r>
            <w:proofErr w:type="spellStart"/>
            <w:r w:rsidRPr="00F54CDE">
              <w:rPr>
                <w:i/>
              </w:rPr>
              <w:t>arg</w:t>
            </w:r>
            <w:proofErr w:type="spellEnd"/>
          </w:p>
          <w:p w:rsidR="00CF151B" w:rsidRPr="00BB7A69" w:rsidRDefault="00CF151B"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6" w:name="_Date_options"/>
      <w:bookmarkEnd w:id="6"/>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7" w:name="_Date_options_1"/>
      <w:bookmarkEnd w:id="7"/>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xml:space="preserve">: If empty then first period after last historical observation </w:t>
            </w:r>
            <w:r w:rsidR="00C119C3">
              <w:t xml:space="preserve">for all </w:t>
            </w:r>
            <w:proofErr w:type="spellStart"/>
            <w:r w:rsidR="00C119C3">
              <w:t>regressors</w:t>
            </w:r>
            <w:proofErr w:type="spellEnd"/>
            <w:r w:rsidR="00C119C3">
              <w:t xml:space="preserve"> </w:t>
            </w:r>
            <w:r w:rsidR="000208B9">
              <w:t>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783CF4"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783CF4" w:rsidRDefault="00783CF4" w:rsidP="00783CF4">
            <w:pPr>
              <w:pStyle w:val="TableContents"/>
              <w:rPr>
                <w:rFonts w:hint="eastAsia"/>
              </w:rPr>
            </w:pPr>
            <w:r>
              <w:t>TFIRST_SHOCKS=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783CF4" w:rsidRDefault="00783CF4" w:rsidP="00E6303C">
            <w:pPr>
              <w:pStyle w:val="TableContents"/>
              <w:rPr>
                <w:rFonts w:hint="eastAsia"/>
              </w:rPr>
            </w:pPr>
            <w:r>
              <w:t>User-specified first date of shock response.</w:t>
            </w:r>
          </w:p>
          <w:p w:rsidR="00783CF4" w:rsidRDefault="00783CF4" w:rsidP="00C119C3">
            <w:pPr>
              <w:pStyle w:val="TableContents"/>
              <w:rPr>
                <w:rFonts w:hint="eastAsia"/>
              </w:rPr>
            </w:pPr>
            <w:r w:rsidRPr="00F54CDE">
              <w:rPr>
                <w:b/>
              </w:rPr>
              <w:t>Note</w:t>
            </w:r>
            <w:r>
              <w:t>:</w:t>
            </w:r>
            <w:r w:rsidR="00C119C3">
              <w:t xml:space="preserve"> If empty then it will be set to period 12 observations before</w:t>
            </w:r>
            <w:r>
              <w:t xml:space="preserve"> last historical observation</w:t>
            </w:r>
            <w:r w:rsidR="00C119C3">
              <w:t xml:space="preserve"> for all </w:t>
            </w:r>
            <w:proofErr w:type="spellStart"/>
            <w:r w:rsidR="00C119C3">
              <w:t>regressors</w:t>
            </w:r>
            <w:proofErr w:type="spellEnd"/>
            <w:r>
              <w:t>.</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TLAST_SHOCKS=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last date of shock response.</w:t>
            </w:r>
          </w:p>
          <w:p w:rsidR="00C119C3" w:rsidRDefault="00C119C3" w:rsidP="00C119C3">
            <w:pPr>
              <w:pStyle w:val="TableContents"/>
              <w:rPr>
                <w:rFonts w:hint="eastAsia"/>
              </w:rPr>
            </w:pPr>
            <w:r w:rsidRPr="00F54CDE">
              <w:rPr>
                <w:b/>
              </w:rPr>
              <w:t>Note</w:t>
            </w:r>
            <w:r>
              <w:t xml:space="preserve">: If empty then period of last historical observation for all </w:t>
            </w:r>
            <w:proofErr w:type="spellStart"/>
            <w:r>
              <w:t>regressors</w:t>
            </w:r>
            <w:proofErr w:type="spellEnd"/>
            <w:r>
              <w:t xml:space="preserve"> will be used.</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i/>
              </w:rPr>
            </w:pPr>
            <w:r>
              <w:t>TFIRST_SHOCKGRAPH=</w:t>
            </w:r>
            <w:proofErr w:type="spellStart"/>
            <w:r w:rsidRPr="00D16B43">
              <w:rPr>
                <w:i/>
              </w:rPr>
              <w:t>arg</w:t>
            </w:r>
            <w:proofErr w:type="spellEnd"/>
          </w:p>
          <w:p w:rsidR="00C119C3" w:rsidRDefault="00C119C3" w:rsidP="00C119C3">
            <w:pPr>
              <w:pStyle w:val="TableContents"/>
              <w:rPr>
                <w:rFonts w:hint="eastAsia"/>
              </w:rPr>
            </w:pPr>
            <w:r>
              <w:rPr>
                <w:i/>
              </w:rPr>
              <w:t>(default=T</w:t>
            </w:r>
            <w:r w:rsidRPr="00E703B7">
              <w:rPr>
                <w:i/>
              </w:rPr>
              <w:t>FIRST_</w:t>
            </w:r>
            <w:r>
              <w:rPr>
                <w:i/>
              </w:rPr>
              <w:t>SHOCKS</w:t>
            </w:r>
            <w:r w:rsidRPr="00E703B7">
              <w:rPr>
                <w:i/>
              </w:rPr>
              <w:t>-12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first date of shock graphs.</w:t>
            </w:r>
          </w:p>
        </w:tc>
      </w:tr>
    </w:tbl>
    <w:p w:rsidR="00524ED9" w:rsidRDefault="00524ED9" w:rsidP="00D02BDE">
      <w:pPr>
        <w:pStyle w:val="Heading2"/>
        <w:rPr>
          <w:rFonts w:hint="eastAsia"/>
        </w:rPr>
      </w:pPr>
      <w:bookmarkStart w:id="8" w:name="_Store_options"/>
      <w:bookmarkEnd w:id="8"/>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E523A5" w:rsidRDefault="00E523A5" w:rsidP="00D02BDE">
      <w:pPr>
        <w:pStyle w:val="Heading2"/>
        <w:rPr>
          <w:rFonts w:hint="eastAsia"/>
        </w:rPr>
      </w:pPr>
      <w:bookmarkStart w:id="9" w:name="_Store_options_1"/>
      <w:bookmarkEnd w:id="9"/>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6B21B0" w:rsidP="006B21B0">
            <w:pPr>
              <w:pStyle w:val="TableContents"/>
              <w:rPr>
                <w:rFonts w:hint="eastAsia"/>
                <w:i/>
              </w:rPr>
            </w:pPr>
            <w:r>
              <w:t>SPOOL_NAME=</w:t>
            </w:r>
            <w:proofErr w:type="spellStart"/>
            <w:r w:rsidRPr="006B21B0">
              <w:rPr>
                <w:i/>
              </w:rPr>
              <w:t>arg</w:t>
            </w:r>
            <w:proofErr w:type="spellEnd"/>
          </w:p>
          <w:p w:rsidR="006B21B0" w:rsidRDefault="006B21B0" w:rsidP="00E45002">
            <w:pPr>
              <w:pStyle w:val="TableContents"/>
              <w:rPr>
                <w:rFonts w:hint="eastAsia"/>
              </w:rPr>
            </w:pPr>
            <w:r>
              <w:rPr>
                <w:i/>
              </w:rPr>
              <w:t>(default=</w:t>
            </w:r>
            <w:proofErr w:type="spellStart"/>
            <w:r>
              <w:rPr>
                <w:i/>
              </w:rPr>
              <w:t>sp_</w:t>
            </w:r>
            <w:r w:rsidR="00E45002">
              <w:rPr>
                <w:i/>
              </w:rPr>
              <w:t>spec</w:t>
            </w:r>
            <w:r>
              <w:rPr>
                <w:i/>
              </w:rPr>
              <w:t>_evaluation</w:t>
            </w:r>
            <w:proofErr w:type="spellEnd"/>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6B21B0">
            <w:pPr>
              <w:pStyle w:val="TableContents"/>
              <w:rPr>
                <w:rFonts w:hint="eastAsia"/>
              </w:rPr>
            </w:pPr>
            <w:r>
              <w:t>Name of report spool.</w:t>
            </w:r>
          </w:p>
          <w:p w:rsidR="006B21B0" w:rsidRDefault="006B21B0" w:rsidP="006B21B0">
            <w:pPr>
              <w:pStyle w:val="TableContents"/>
              <w:rPr>
                <w:rFonts w:hint="eastAsia"/>
              </w:rPr>
            </w:pPr>
            <w:r w:rsidRPr="006B21B0">
              <w:rPr>
                <w:b/>
              </w:rPr>
              <w:t>Note</w:t>
            </w:r>
            <w:r>
              <w:t>: In case when multiple specifications are being evaluated then the auxiliary spool is called ‘{</w:t>
            </w:r>
            <w:proofErr w:type="spellStart"/>
            <w:r>
              <w:t>spool_name</w:t>
            </w:r>
            <w:proofErr w:type="spellEnd"/>
            <w:proofErr w:type="gramStart"/>
            <w:r>
              <w:t>}_</w:t>
            </w:r>
            <w:proofErr w:type="gramEnd"/>
            <w:r>
              <w:t>specs’.</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REPORT_FILE=</w:t>
            </w:r>
            <w:proofErr w:type="spellStart"/>
            <w:r w:rsidRPr="006B21B0">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Name/full path for the pdf report file.</w:t>
            </w:r>
          </w:p>
          <w:p w:rsidR="006B21B0" w:rsidRDefault="006B21B0" w:rsidP="002D223C">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KEEP_FORECASTS=</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keepNext/>
              <w:keepLines/>
              <w:rPr>
                <w:rFonts w:hint="eastAsia"/>
                <w:i/>
              </w:rPr>
            </w:pPr>
            <w:r>
              <w:t>KEEP_EQS=</w:t>
            </w:r>
            <w:proofErr w:type="spellStart"/>
            <w:r w:rsidRPr="00B275A6">
              <w:rPr>
                <w:i/>
              </w:rPr>
              <w:t>arg</w:t>
            </w:r>
            <w:proofErr w:type="spellEnd"/>
          </w:p>
          <w:p w:rsidR="006B21B0" w:rsidRDefault="006B21B0" w:rsidP="002D223C">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KEEP_OBJECTS=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6B21B0" w:rsidTr="006B21B0">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rPr>
                <w:rFonts w:hint="eastAsia"/>
                <w:i/>
              </w:rPr>
            </w:pPr>
            <w:r>
              <w:t>KEEP_INFO=</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 xml:space="preserve">Indicator whether objects with information about forecast evaluation process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KEEP_SETTINGS=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10" w:name="_Execution_list_options"/>
      <w:bookmarkEnd w:id="10"/>
      <w:r>
        <w:rPr>
          <w:rFonts w:hint="eastAsia"/>
        </w:rPr>
        <w:br w:type="page"/>
      </w:r>
    </w:p>
    <w:p w:rsidR="00455487" w:rsidRDefault="00455487" w:rsidP="00FB5719">
      <w:pPr>
        <w:pStyle w:val="Heading1"/>
        <w:rPr>
          <w:rFonts w:hint="eastAsia"/>
        </w:rPr>
      </w:pPr>
      <w:bookmarkStart w:id="11" w:name="_Execution_list_arguments"/>
      <w:bookmarkEnd w:id="11"/>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 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Shocks_variables</w:t>
            </w:r>
            <w:proofErr w:type="spellEnd"/>
          </w:p>
        </w:tc>
        <w:tc>
          <w:tcPr>
            <w:tcW w:w="7236" w:type="dxa"/>
            <w:vAlign w:val="center"/>
          </w:tcPr>
          <w:p w:rsidR="00233DD4" w:rsidRDefault="00233DD4" w:rsidP="00AD0D67">
            <w:pPr>
              <w:pStyle w:val="Standard"/>
              <w:keepNext/>
              <w:rPr>
                <w:rFonts w:hint="eastAsia"/>
              </w:rPr>
            </w:pPr>
            <w:r>
              <w:t>Shock-response graphs (independent variable shocks)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Shocks_regressors</w:t>
            </w:r>
            <w:proofErr w:type="spellEnd"/>
          </w:p>
        </w:tc>
        <w:tc>
          <w:tcPr>
            <w:tcW w:w="7236" w:type="dxa"/>
            <w:vAlign w:val="center"/>
          </w:tcPr>
          <w:p w:rsidR="00233DD4" w:rsidRDefault="00233DD4" w:rsidP="00233DD4">
            <w:pPr>
              <w:pStyle w:val="Standard"/>
              <w:keepNext/>
              <w:rPr>
                <w:rFonts w:hint="eastAsia"/>
              </w:rPr>
            </w:pPr>
            <w:r>
              <w:t>Shock-response graphs (</w:t>
            </w:r>
            <w:proofErr w:type="spellStart"/>
            <w:r>
              <w:t>regressor</w:t>
            </w:r>
            <w:proofErr w:type="spellEnd"/>
            <w:r>
              <w:t xml:space="preserve"> shocks)</w:t>
            </w:r>
          </w:p>
        </w:tc>
      </w:tr>
      <w:tr w:rsidR="00233DD4" w:rsidTr="00531D8A">
        <w:trPr>
          <w:cantSplit/>
        </w:trPr>
        <w:tc>
          <w:tcPr>
            <w:tcW w:w="2243" w:type="dxa"/>
            <w:vAlign w:val="center"/>
          </w:tcPr>
          <w:p w:rsidR="00233DD4" w:rsidRPr="000A23DD" w:rsidRDefault="00233DD4" w:rsidP="00AD0D67">
            <w:pPr>
              <w:pStyle w:val="Standard"/>
              <w:keepNext/>
              <w:rPr>
                <w:rFonts w:hint="eastAsia"/>
                <w:i/>
              </w:rPr>
            </w:pPr>
            <w:r w:rsidRPr="000A23DD">
              <w:rPr>
                <w:i/>
              </w:rPr>
              <w:t>Shocks</w:t>
            </w:r>
          </w:p>
        </w:tc>
        <w:tc>
          <w:tcPr>
            <w:tcW w:w="7236" w:type="dxa"/>
            <w:vAlign w:val="center"/>
          </w:tcPr>
          <w:p w:rsidR="00233DD4" w:rsidRDefault="00233DD4" w:rsidP="00AD0D67">
            <w:pPr>
              <w:pStyle w:val="Standard"/>
              <w:keepNext/>
              <w:rPr>
                <w:rFonts w:hint="eastAsia"/>
              </w:rPr>
            </w:pPr>
            <w:r>
              <w:t>Both types of shock-response graphs</w:t>
            </w:r>
          </w:p>
          <w:p w:rsidR="00233DD4" w:rsidRDefault="00233DD4" w:rsidP="00233DD4">
            <w:pPr>
              <w:pStyle w:val="Standard"/>
              <w:keepNext/>
              <w:rPr>
                <w:rFonts w:hint="eastAsia"/>
              </w:rPr>
            </w:pPr>
            <w:r w:rsidRPr="00616FAE">
              <w:rPr>
                <w:i/>
              </w:rPr>
              <w:t>Equivalent to “</w:t>
            </w:r>
            <w:proofErr w:type="spellStart"/>
            <w:r>
              <w:rPr>
                <w:i/>
              </w:rPr>
              <w:t>shocks_variables</w:t>
            </w:r>
            <w:proofErr w:type="spellEnd"/>
            <w:r>
              <w:rPr>
                <w:i/>
              </w:rPr>
              <w:t xml:space="preserve"> </w:t>
            </w:r>
            <w:proofErr w:type="spellStart"/>
            <w:r>
              <w:rPr>
                <w:i/>
              </w:rPr>
              <w:t>shocks_regressors</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r>
              <w:t>Decomposition</w:t>
            </w:r>
          </w:p>
        </w:tc>
        <w:tc>
          <w:tcPr>
            <w:tcW w:w="7236" w:type="dxa"/>
            <w:vAlign w:val="center"/>
          </w:tcPr>
          <w:p w:rsidR="00233DD4" w:rsidRDefault="00233DD4" w:rsidP="00AD0D67">
            <w:pPr>
              <w:pStyle w:val="Standard"/>
              <w:keepNext/>
              <w:rPr>
                <w:rFonts w:hint="eastAsia"/>
              </w:rPr>
            </w:pPr>
            <w:r>
              <w:t>Forecast decomposition graphs for subsample forecasts and/or conditional scenario forecasts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Reg_output</w:t>
            </w:r>
            <w:proofErr w:type="spellEnd"/>
          </w:p>
        </w:tc>
        <w:tc>
          <w:tcPr>
            <w:tcW w:w="7236" w:type="dxa"/>
            <w:vAlign w:val="center"/>
          </w:tcPr>
          <w:p w:rsidR="00233DD4" w:rsidRDefault="00233DD4" w:rsidP="00AD0D67">
            <w:pPr>
              <w:pStyle w:val="Standard"/>
              <w:keepNext/>
              <w:rPr>
                <w:rFonts w:hint="eastAsia"/>
              </w:rPr>
            </w:pPr>
            <w:r>
              <w:t>Table(s) with adjusted regression output</w:t>
            </w:r>
          </w:p>
        </w:tc>
      </w:tr>
      <w:tr w:rsidR="00233DD4" w:rsidTr="00531D8A">
        <w:trPr>
          <w:cantSplit/>
        </w:trPr>
        <w:tc>
          <w:tcPr>
            <w:tcW w:w="2243" w:type="dxa"/>
            <w:vAlign w:val="center"/>
          </w:tcPr>
          <w:p w:rsidR="00233DD4" w:rsidRDefault="00233DD4" w:rsidP="00AD0D67">
            <w:pPr>
              <w:pStyle w:val="Standard"/>
              <w:keepNext/>
              <w:rPr>
                <w:rFonts w:hint="eastAsia"/>
              </w:rPr>
            </w:pPr>
            <w:r>
              <w:t>Stability</w:t>
            </w:r>
          </w:p>
        </w:tc>
        <w:tc>
          <w:tcPr>
            <w:tcW w:w="7236" w:type="dxa"/>
            <w:vAlign w:val="center"/>
          </w:tcPr>
          <w:p w:rsidR="00233DD4" w:rsidRDefault="00233DD4" w:rsidP="00AD0D67">
            <w:pPr>
              <w:pStyle w:val="Standard"/>
              <w:keepNext/>
              <w:rPr>
                <w:rFonts w:hint="eastAsia"/>
              </w:rPr>
            </w:pPr>
            <w:r>
              <w:t>Graphs with model/coefficient stability</w:t>
            </w:r>
          </w:p>
        </w:tc>
      </w:tr>
      <w:tr w:rsidR="00233DD4" w:rsidTr="00531D8A">
        <w:trPr>
          <w:cantSplit/>
        </w:trPr>
        <w:tc>
          <w:tcPr>
            <w:tcW w:w="2243" w:type="dxa"/>
            <w:vAlign w:val="center"/>
          </w:tcPr>
          <w:p w:rsidR="00233DD4" w:rsidRPr="00616FAE" w:rsidRDefault="00233DD4" w:rsidP="00AD0D67">
            <w:pPr>
              <w:pStyle w:val="Standard"/>
              <w:keepNext/>
              <w:rPr>
                <w:rFonts w:hint="eastAsia"/>
                <w:i/>
              </w:rPr>
            </w:pPr>
            <w:r w:rsidRPr="00616FAE">
              <w:rPr>
                <w:i/>
              </w:rPr>
              <w:t>All</w:t>
            </w:r>
          </w:p>
        </w:tc>
        <w:tc>
          <w:tcPr>
            <w:tcW w:w="7236" w:type="dxa"/>
            <w:vAlign w:val="center"/>
          </w:tcPr>
          <w:p w:rsidR="00233DD4" w:rsidRPr="00616FAE" w:rsidRDefault="00233DD4" w:rsidP="00AD0D67">
            <w:pPr>
              <w:pStyle w:val="Standard"/>
              <w:keepNext/>
              <w:rPr>
                <w:rFonts w:hint="eastAsia"/>
                <w:i/>
              </w:rPr>
            </w:pPr>
            <w:r>
              <w:rPr>
                <w:i/>
              </w:rPr>
              <w:t>Equivalent to all</w:t>
            </w:r>
            <w:r w:rsidRPr="00616FAE">
              <w:rPr>
                <w:i/>
              </w:rPr>
              <w:t xml:space="preserve"> above arguments</w:t>
            </w:r>
          </w:p>
        </w:tc>
      </w:tr>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2" w:name="_List_of_outputs"/>
      <w:bookmarkEnd w:id="12"/>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3" w:name="_List_of_outputs_1"/>
      <w:bookmarkEnd w:id="13"/>
      <w:r>
        <w:t>List of outputs</w:t>
      </w:r>
    </w:p>
    <w:p w:rsidR="00F9768B" w:rsidRDefault="00F9768B" w:rsidP="007F04A4">
      <w:pPr>
        <w:pStyle w:val="NoSpacing"/>
        <w:keepNext/>
        <w:keepLines/>
        <w:rPr>
          <w:rFonts w:hint="eastAsia"/>
        </w:rPr>
      </w:pPr>
      <w:r>
        <w:t>All add-in outputs are explained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r w:rsidR="00621B90" w:rsidRPr="007F04A4" w:rsidTr="007F04A4">
        <w:tc>
          <w:tcPr>
            <w:tcW w:w="3528" w:type="dxa"/>
          </w:tcPr>
          <w:p w:rsidR="00621B90" w:rsidRPr="008438E4" w:rsidRDefault="00B50BB0"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S</w:t>
            </w:r>
            <w:r w:rsidR="00621B90">
              <w:rPr>
                <w:rFonts w:asciiTheme="minorHAnsi" w:eastAsiaTheme="minorHAnsi" w:hAnsiTheme="minorHAnsi" w:cstheme="minorBidi"/>
                <w:kern w:val="0"/>
                <w:sz w:val="22"/>
                <w:szCs w:val="22"/>
                <w:lang w:eastAsia="en-US" w:bidi="ar-SA"/>
              </w:rPr>
              <w:t>hock response graph</w:t>
            </w:r>
            <w:r>
              <w:rPr>
                <w:rFonts w:asciiTheme="minorHAnsi" w:eastAsiaTheme="minorHAnsi" w:hAnsiTheme="minorHAnsi" w:cstheme="minorBidi"/>
                <w:kern w:val="0"/>
                <w:sz w:val="22"/>
                <w:szCs w:val="22"/>
                <w:lang w:eastAsia="en-US" w:bidi="ar-SA"/>
              </w:rPr>
              <w:t>s</w:t>
            </w:r>
          </w:p>
        </w:tc>
        <w:tc>
          <w:tcPr>
            <w:tcW w:w="5922" w:type="dxa"/>
          </w:tcPr>
          <w:p w:rsidR="00621B90" w:rsidRPr="007F04A4" w:rsidRDefault="00B50BB0"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B50BB0">
              <w:rPr>
                <w:rFonts w:asciiTheme="minorHAnsi" w:eastAsiaTheme="minorHAnsi" w:hAnsiTheme="minorHAnsi" w:cstheme="minorBidi" w:hint="eastAsia"/>
                <w:kern w:val="0"/>
                <w:sz w:val="22"/>
                <w:szCs w:val="22"/>
                <w:lang w:eastAsia="en-US" w:bidi="ar-SA"/>
              </w:rPr>
              <w:t>Graphs with response to shock to individual independent variable/</w:t>
            </w:r>
            <w:proofErr w:type="spellStart"/>
            <w:r w:rsidRPr="00B50BB0">
              <w:rPr>
                <w:rFonts w:asciiTheme="minorHAnsi" w:eastAsiaTheme="minorHAnsi" w:hAnsiTheme="minorHAnsi" w:cstheme="minorBidi" w:hint="eastAsia"/>
                <w:kern w:val="0"/>
                <w:sz w:val="22"/>
                <w:szCs w:val="22"/>
                <w:lang w:eastAsia="en-US" w:bidi="ar-SA"/>
              </w:rPr>
              <w:t>regressor</w:t>
            </w:r>
            <w:proofErr w:type="spellEnd"/>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23DD"/>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1B25"/>
    <w:rsid w:val="001B33F0"/>
    <w:rsid w:val="001C611B"/>
    <w:rsid w:val="001D6DEC"/>
    <w:rsid w:val="001E7B10"/>
    <w:rsid w:val="0020415E"/>
    <w:rsid w:val="002155D2"/>
    <w:rsid w:val="0022596D"/>
    <w:rsid w:val="00233DD4"/>
    <w:rsid w:val="002350A3"/>
    <w:rsid w:val="0023632F"/>
    <w:rsid w:val="00242C75"/>
    <w:rsid w:val="0024464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B06C7"/>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6486"/>
    <w:rsid w:val="004C788C"/>
    <w:rsid w:val="004D2F29"/>
    <w:rsid w:val="004E7DC8"/>
    <w:rsid w:val="00504F1D"/>
    <w:rsid w:val="00512D26"/>
    <w:rsid w:val="00524ED9"/>
    <w:rsid w:val="00531D8A"/>
    <w:rsid w:val="00536A27"/>
    <w:rsid w:val="0055009C"/>
    <w:rsid w:val="00550DB5"/>
    <w:rsid w:val="00556D80"/>
    <w:rsid w:val="00570E37"/>
    <w:rsid w:val="00577451"/>
    <w:rsid w:val="00592A88"/>
    <w:rsid w:val="005A54E1"/>
    <w:rsid w:val="005B57E9"/>
    <w:rsid w:val="005F106B"/>
    <w:rsid w:val="005F2B15"/>
    <w:rsid w:val="005F515F"/>
    <w:rsid w:val="005F6D27"/>
    <w:rsid w:val="00600D8A"/>
    <w:rsid w:val="00613ED3"/>
    <w:rsid w:val="0061669E"/>
    <w:rsid w:val="00616FAE"/>
    <w:rsid w:val="00616FB4"/>
    <w:rsid w:val="00617A5C"/>
    <w:rsid w:val="00620193"/>
    <w:rsid w:val="00621B90"/>
    <w:rsid w:val="00633487"/>
    <w:rsid w:val="006546AC"/>
    <w:rsid w:val="00660162"/>
    <w:rsid w:val="00670420"/>
    <w:rsid w:val="006766FE"/>
    <w:rsid w:val="00696153"/>
    <w:rsid w:val="006A1E84"/>
    <w:rsid w:val="006B21B0"/>
    <w:rsid w:val="006B2460"/>
    <w:rsid w:val="006B4815"/>
    <w:rsid w:val="006D60C0"/>
    <w:rsid w:val="006F6F0E"/>
    <w:rsid w:val="00700BF9"/>
    <w:rsid w:val="00710BF6"/>
    <w:rsid w:val="007307B8"/>
    <w:rsid w:val="00734D03"/>
    <w:rsid w:val="00734EAD"/>
    <w:rsid w:val="00737CF8"/>
    <w:rsid w:val="00744A45"/>
    <w:rsid w:val="0074712B"/>
    <w:rsid w:val="007611EF"/>
    <w:rsid w:val="00770B71"/>
    <w:rsid w:val="00771F8F"/>
    <w:rsid w:val="00781528"/>
    <w:rsid w:val="00783CF4"/>
    <w:rsid w:val="0079048D"/>
    <w:rsid w:val="007A2AD0"/>
    <w:rsid w:val="007A50DF"/>
    <w:rsid w:val="007A5D1C"/>
    <w:rsid w:val="007B1A03"/>
    <w:rsid w:val="007B27BD"/>
    <w:rsid w:val="007B4EA4"/>
    <w:rsid w:val="007C2051"/>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114C"/>
    <w:rsid w:val="00A63038"/>
    <w:rsid w:val="00A74FF1"/>
    <w:rsid w:val="00A7708F"/>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6F64"/>
    <w:rsid w:val="00B275A6"/>
    <w:rsid w:val="00B314D7"/>
    <w:rsid w:val="00B341DC"/>
    <w:rsid w:val="00B404F0"/>
    <w:rsid w:val="00B440F1"/>
    <w:rsid w:val="00B4492B"/>
    <w:rsid w:val="00B50BB0"/>
    <w:rsid w:val="00B6226B"/>
    <w:rsid w:val="00B74A0C"/>
    <w:rsid w:val="00B877F7"/>
    <w:rsid w:val="00B97B7C"/>
    <w:rsid w:val="00BB1BE4"/>
    <w:rsid w:val="00BB3933"/>
    <w:rsid w:val="00BB7A69"/>
    <w:rsid w:val="00BD3AA4"/>
    <w:rsid w:val="00BE5914"/>
    <w:rsid w:val="00BF577B"/>
    <w:rsid w:val="00C02B6E"/>
    <w:rsid w:val="00C11489"/>
    <w:rsid w:val="00C119C3"/>
    <w:rsid w:val="00C12D46"/>
    <w:rsid w:val="00C25AAE"/>
    <w:rsid w:val="00C26439"/>
    <w:rsid w:val="00C4148A"/>
    <w:rsid w:val="00C4353E"/>
    <w:rsid w:val="00C43639"/>
    <w:rsid w:val="00C6341D"/>
    <w:rsid w:val="00C64B1F"/>
    <w:rsid w:val="00C67236"/>
    <w:rsid w:val="00C75014"/>
    <w:rsid w:val="00CA04FC"/>
    <w:rsid w:val="00CE0F0D"/>
    <w:rsid w:val="00CE2B9C"/>
    <w:rsid w:val="00CF151B"/>
    <w:rsid w:val="00CF2E67"/>
    <w:rsid w:val="00D02BDE"/>
    <w:rsid w:val="00D16B43"/>
    <w:rsid w:val="00D1726B"/>
    <w:rsid w:val="00D2339A"/>
    <w:rsid w:val="00D517C4"/>
    <w:rsid w:val="00D53256"/>
    <w:rsid w:val="00D6774E"/>
    <w:rsid w:val="00D76AF2"/>
    <w:rsid w:val="00D80231"/>
    <w:rsid w:val="00D81A36"/>
    <w:rsid w:val="00D92DF9"/>
    <w:rsid w:val="00DB4947"/>
    <w:rsid w:val="00DB506F"/>
    <w:rsid w:val="00DE0963"/>
    <w:rsid w:val="00DE3B61"/>
    <w:rsid w:val="00E14AE9"/>
    <w:rsid w:val="00E15F63"/>
    <w:rsid w:val="00E308E1"/>
    <w:rsid w:val="00E41BD7"/>
    <w:rsid w:val="00E45002"/>
    <w:rsid w:val="00E523A5"/>
    <w:rsid w:val="00E668E5"/>
    <w:rsid w:val="00E703B7"/>
    <w:rsid w:val="00E7099C"/>
    <w:rsid w:val="00E75A00"/>
    <w:rsid w:val="00E76E10"/>
    <w:rsid w:val="00E86E12"/>
    <w:rsid w:val="00E9087B"/>
    <w:rsid w:val="00E91BAE"/>
    <w:rsid w:val="00EA06FF"/>
    <w:rsid w:val="00EA7285"/>
    <w:rsid w:val="00EA7C22"/>
    <w:rsid w:val="00ED1F22"/>
    <w:rsid w:val="00F14C55"/>
    <w:rsid w:val="00F16F60"/>
    <w:rsid w:val="00F2120C"/>
    <w:rsid w:val="00F24CB8"/>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4148</Words>
  <Characters>23649</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11</cp:revision>
  <cp:lastPrinted>2021-10-08T10:56:00Z</cp:lastPrinted>
  <dcterms:created xsi:type="dcterms:W3CDTF">2021-04-15T11:31:00Z</dcterms:created>
  <dcterms:modified xsi:type="dcterms:W3CDTF">2021-10-08T11:08:00Z</dcterms:modified>
</cp:coreProperties>
</file>