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F41B" w14:textId="66CD2D1F" w:rsidR="007D0A78" w:rsidRPr="007D0A78" w:rsidRDefault="007D0A78" w:rsidP="007D0A78">
      <w:pPr>
        <w:pStyle w:val="Heading2"/>
        <w:rPr>
          <w:rFonts w:ascii="Arial" w:hAnsi="Arial" w:cs="Arial"/>
          <w:b/>
          <w:bCs/>
        </w:rPr>
      </w:pPr>
      <w:r w:rsidRPr="007D0A78">
        <w:rPr>
          <w:rFonts w:ascii="Arial" w:hAnsi="Arial" w:cs="Arial"/>
          <w:b/>
          <w:bCs/>
        </w:rPr>
        <w:t>Architecture Decision Records</w:t>
      </w:r>
    </w:p>
    <w:p w14:paraId="3D36A0F3" w14:textId="77777777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sz w:val="24"/>
          <w:szCs w:val="24"/>
          <w:lang w:val="es-MX"/>
        </w:rPr>
        <w:t xml:space="preserve">Se registran cinco decisiones con consecuencias reales para el diseño: la guía pide tres como mínimo. Todas quedan en estado </w:t>
      </w:r>
      <w:r w:rsidRPr="007D0A78">
        <w:rPr>
          <w:rFonts w:ascii="Arial" w:hAnsi="Arial" w:cs="Arial"/>
          <w:b/>
          <w:sz w:val="24"/>
          <w:szCs w:val="24"/>
          <w:lang w:val="es-MX"/>
        </w:rPr>
        <w:t>Propuesta</w:t>
      </w:r>
      <w:r w:rsidRPr="007D0A78">
        <w:rPr>
          <w:rFonts w:ascii="Arial" w:hAnsi="Arial" w:cs="Arial"/>
          <w:sz w:val="24"/>
          <w:szCs w:val="24"/>
          <w:lang w:val="es-MX"/>
        </w:rPr>
        <w:t xml:space="preserve"> hasta que el equipo las apruebe; al hacerlo cambian a </w:t>
      </w:r>
      <w:r w:rsidRPr="007D0A78">
        <w:rPr>
          <w:rFonts w:ascii="Arial" w:hAnsi="Arial" w:cs="Arial"/>
          <w:b/>
          <w:sz w:val="24"/>
          <w:szCs w:val="24"/>
          <w:lang w:val="es-MX"/>
        </w:rPr>
        <w:t>Aceptada</w:t>
      </w:r>
      <w:r w:rsidRPr="007D0A78">
        <w:rPr>
          <w:rFonts w:ascii="Arial" w:hAnsi="Arial" w:cs="Arial"/>
          <w:sz w:val="24"/>
          <w:szCs w:val="24"/>
          <w:lang w:val="es-MX"/>
        </w:rPr>
        <w:t>.</w:t>
      </w:r>
    </w:p>
    <w:p w14:paraId="73C96EC1" w14:textId="77777777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b/>
          <w:sz w:val="24"/>
          <w:szCs w:val="24"/>
          <w:lang w:val="es-MX"/>
        </w:rPr>
        <w:t>ADR-001: Domain Model como patrón de lógica de negocio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0A78" w:rsidRPr="007D0A78" w14:paraId="30621CFB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11AAD23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14F0AE7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Contenido</w:t>
            </w:r>
          </w:p>
        </w:tc>
      </w:tr>
      <w:tr w:rsidR="007D0A78" w:rsidRPr="007D0A78" w14:paraId="4CEEC51C" w14:textId="77777777" w:rsidTr="008F029A">
        <w:tc>
          <w:tcPr>
            <w:tcW w:w="4680" w:type="dxa"/>
          </w:tcPr>
          <w:p w14:paraId="3EFE939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4680" w:type="dxa"/>
          </w:tcPr>
          <w:p w14:paraId="4770C97E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Propuesta</w:t>
            </w:r>
          </w:p>
        </w:tc>
      </w:tr>
      <w:tr w:rsidR="007D0A78" w:rsidRPr="007D0A78" w14:paraId="409B72E8" w14:textId="77777777" w:rsidTr="008F029A">
        <w:tc>
          <w:tcPr>
            <w:tcW w:w="4680" w:type="dxa"/>
          </w:tcPr>
          <w:p w14:paraId="7F0C90F2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Contexto</w:t>
            </w:r>
          </w:p>
        </w:tc>
        <w:tc>
          <w:tcPr>
            <w:tcW w:w="4680" w:type="dxa"/>
          </w:tcPr>
          <w:p w14:paraId="2021829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La agenda tiene invariantes (no duplicar franjas entre sucursales, sobrecupo por médico), un ciclo de estados de la cita y tres canales de entrada. El BRD exige coordinación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multi-sucursal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en tiempo real</w:t>
            </w:r>
          </w:p>
        </w:tc>
      </w:tr>
      <w:tr w:rsidR="007D0A78" w:rsidRPr="007D0A78" w14:paraId="355DC10C" w14:textId="77777777" w:rsidTr="008F029A">
        <w:tc>
          <w:tcPr>
            <w:tcW w:w="4680" w:type="dxa"/>
          </w:tcPr>
          <w:p w14:paraId="269413E3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19CBAAA2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Transaction Script: rápido, pero repite las reglas en cada canal. Table Module: agrupa por tabla, pero las reglas que cruzan médico, jornada y cita quedan sueltas</w:t>
            </w:r>
          </w:p>
        </w:tc>
      </w:tr>
      <w:tr w:rsidR="007D0A78" w:rsidRPr="007D0A78" w14:paraId="15274605" w14:textId="77777777" w:rsidTr="008F029A">
        <w:tc>
          <w:tcPr>
            <w:tcW w:w="4680" w:type="dxa"/>
          </w:tcPr>
          <w:p w14:paraId="68C3CC0A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Decisión</w:t>
            </w:r>
          </w:p>
        </w:tc>
        <w:tc>
          <w:tcPr>
            <w:tcW w:w="4680" w:type="dxa"/>
          </w:tcPr>
          <w:p w14:paraId="3A777DF0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Domain Model para agenda y cita. Transaction Script solo para pacientes, catálogos y consultas, porque ahí casi no hay reglas</w:t>
            </w:r>
          </w:p>
        </w:tc>
      </w:tr>
      <w:tr w:rsidR="007D0A78" w:rsidRPr="007D0A78" w14:paraId="1CBDF62F" w14:textId="77777777" w:rsidTr="008F029A">
        <w:tc>
          <w:tcPr>
            <w:tcW w:w="4680" w:type="dxa"/>
          </w:tcPr>
          <w:p w14:paraId="1EB5DB8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41B375E0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Las reglas viven en un solo lugar y se prueban sin base de datos. Cuesta más diseño inicial y un mapeo a la base de datos. Si el negocio recortara el alcance a una agenda sin sobrecupo ni autorizaciones, habría que reconsiderarla</w:t>
            </w:r>
          </w:p>
        </w:tc>
      </w:tr>
      <w:tr w:rsidR="007D0A78" w:rsidRPr="007D0A78" w14:paraId="42687BA4" w14:textId="77777777" w:rsidTr="008F029A">
        <w:tc>
          <w:tcPr>
            <w:tcW w:w="4680" w:type="dxa"/>
          </w:tcPr>
          <w:p w14:paraId="3E9A1A7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38F5A28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BRD (necesidades de duplicados y sobrecupo); US-04, US-05, US-10, US-12; CU-01, CU-02; sección 2</w:t>
            </w:r>
          </w:p>
        </w:tc>
      </w:tr>
    </w:tbl>
    <w:p w14:paraId="1B2FABD1" w14:textId="77777777" w:rsidR="007D0A78" w:rsidRDefault="007D0A78" w:rsidP="007D0A78">
      <w:pPr>
        <w:rPr>
          <w:rFonts w:ascii="Arial" w:hAnsi="Arial" w:cs="Arial"/>
          <w:b/>
          <w:sz w:val="24"/>
          <w:szCs w:val="24"/>
          <w:lang w:val="es-MX"/>
        </w:rPr>
      </w:pPr>
    </w:p>
    <w:p w14:paraId="22590B86" w14:textId="77777777" w:rsidR="007D0A78" w:rsidRDefault="007D0A7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br w:type="page"/>
      </w:r>
    </w:p>
    <w:p w14:paraId="3D5C2CAD" w14:textId="0EDF29F3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b/>
          <w:sz w:val="24"/>
          <w:szCs w:val="24"/>
          <w:lang w:val="es-MX"/>
        </w:rPr>
        <w:lastRenderedPageBreak/>
        <w:t xml:space="preserve">ADR-002: </w:t>
      </w:r>
      <w:proofErr w:type="spellStart"/>
      <w:r w:rsidRPr="007D0A78">
        <w:rPr>
          <w:rFonts w:ascii="Arial" w:hAnsi="Arial" w:cs="Arial"/>
          <w:b/>
          <w:sz w:val="24"/>
          <w:szCs w:val="24"/>
          <w:lang w:val="es-MX"/>
        </w:rPr>
        <w:t>AgendaMedica</w:t>
      </w:r>
      <w:proofErr w:type="spellEnd"/>
      <w:r w:rsidRPr="007D0A78">
        <w:rPr>
          <w:rFonts w:ascii="Arial" w:hAnsi="Arial" w:cs="Arial"/>
          <w:b/>
          <w:sz w:val="24"/>
          <w:szCs w:val="24"/>
          <w:lang w:val="es-MX"/>
        </w:rPr>
        <w:t xml:space="preserve"> por médico y fecha como Aggregate raíz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0A78" w:rsidRPr="007D0A78" w14:paraId="3B0E5DB1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142ACA7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48A69E2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Contenido</w:t>
            </w:r>
          </w:p>
        </w:tc>
      </w:tr>
      <w:tr w:rsidR="007D0A78" w:rsidRPr="007D0A78" w14:paraId="5D16A036" w14:textId="77777777" w:rsidTr="008F029A">
        <w:tc>
          <w:tcPr>
            <w:tcW w:w="4680" w:type="dxa"/>
          </w:tcPr>
          <w:p w14:paraId="312D1E20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4680" w:type="dxa"/>
          </w:tcPr>
          <w:p w14:paraId="2AE98EC3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Propuesta</w:t>
            </w:r>
          </w:p>
        </w:tc>
      </w:tr>
      <w:tr w:rsidR="007D0A78" w:rsidRPr="007D0A78" w14:paraId="16211017" w14:textId="77777777" w:rsidTr="008F029A">
        <w:tc>
          <w:tcPr>
            <w:tcW w:w="4680" w:type="dxa"/>
          </w:tcPr>
          <w:p w14:paraId="480D1B7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Contexto</w:t>
            </w:r>
          </w:p>
        </w:tc>
        <w:tc>
          <w:tcPr>
            <w:tcW w:w="4680" w:type="dxa"/>
          </w:tcPr>
          <w:p w14:paraId="39E4B5D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Hay médicos que atienden en dos sucursales y ahí se duplican citas (P11). La regla debe </w:t>
            </w:r>
            <w:proofErr w:type="gram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cumplirse</w:t>
            </w:r>
            <w:proofErr w:type="gram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aunque dos recepcionistas agenden al mismo tiempo</w:t>
            </w:r>
          </w:p>
        </w:tc>
      </w:tr>
      <w:tr w:rsidR="007D0A78" w:rsidRPr="007D0A78" w14:paraId="22540FC9" w14:textId="77777777" w:rsidTr="008F029A">
        <w:tc>
          <w:tcPr>
            <w:tcW w:w="4680" w:type="dxa"/>
          </w:tcPr>
          <w:p w14:paraId="0D72F60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0E565DA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Cita como Aggregate propio con restricción única en la base de datos: deja la regla en infraestructura y no expresa el sobrecupo variable. Una agenda por sucursal: no ve al médico en otra sucursal. Una agenda por médico con todo su historial: demasiado grande</w:t>
            </w:r>
          </w:p>
        </w:tc>
      </w:tr>
      <w:tr w:rsidR="007D0A78" w:rsidRPr="007D0A78" w14:paraId="424ABFEA" w14:textId="77777777" w:rsidTr="008F029A">
        <w:tc>
          <w:tcPr>
            <w:tcW w:w="4680" w:type="dxa"/>
          </w:tcPr>
          <w:p w14:paraId="0DEE615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Decisión</w:t>
            </w:r>
          </w:p>
        </w:tc>
        <w:tc>
          <w:tcPr>
            <w:tcW w:w="4680" w:type="dxa"/>
          </w:tcPr>
          <w:p w14:paraId="0D1A3AB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Un Aggregate por médico y fecha que abarca todas las sucursales, con versión para detectar escrituras simultáneas</w:t>
            </w:r>
          </w:p>
        </w:tc>
      </w:tr>
      <w:tr w:rsidR="007D0A78" w:rsidRPr="007D0A78" w14:paraId="6DE6C8C6" w14:textId="77777777" w:rsidTr="008F029A">
        <w:tc>
          <w:tcPr>
            <w:tcW w:w="4680" w:type="dxa"/>
          </w:tcPr>
          <w:p w14:paraId="48B15A82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56EA19A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La franja y el sobrecupo se protegen en un solo objeto. El historial por paciente y los reportes se resuelven con lectores. Reagendar entre fechas toca dos agendas y requiere el Reagendador dentro de una sola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Unit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of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Work</w:t>
            </w:r>
          </w:p>
        </w:tc>
      </w:tr>
      <w:tr w:rsidR="007D0A78" w:rsidRPr="007D0A78" w14:paraId="2CAF6DF6" w14:textId="77777777" w:rsidTr="008F029A">
        <w:tc>
          <w:tcPr>
            <w:tcW w:w="4680" w:type="dxa"/>
          </w:tcPr>
          <w:p w14:paraId="49B13B1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2F35594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</w:rPr>
            </w:pPr>
            <w:r w:rsidRPr="007D0A78">
              <w:rPr>
                <w:rFonts w:ascii="Arial" w:hAnsi="Arial" w:cs="Arial"/>
                <w:sz w:val="24"/>
                <w:szCs w:val="24"/>
              </w:rPr>
              <w:t xml:space="preserve">US-05, US-10, US-16; P7, P11; CU-01, CU-03;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</w:rPr>
              <w:t>sección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</w:tbl>
    <w:p w14:paraId="4E046A34" w14:textId="77777777" w:rsidR="007D0A78" w:rsidRDefault="007D0A78" w:rsidP="007D0A78">
      <w:pPr>
        <w:rPr>
          <w:rFonts w:ascii="Arial" w:hAnsi="Arial" w:cs="Arial"/>
          <w:b/>
          <w:sz w:val="24"/>
          <w:szCs w:val="24"/>
          <w:lang w:val="es-MX"/>
        </w:rPr>
      </w:pPr>
    </w:p>
    <w:p w14:paraId="611A366E" w14:textId="6848DAF2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b/>
          <w:sz w:val="24"/>
          <w:szCs w:val="24"/>
          <w:lang w:val="es-MX"/>
        </w:rPr>
        <w:t xml:space="preserve">ADR-003: Auditoría mediante Domain </w:t>
      </w:r>
      <w:proofErr w:type="spellStart"/>
      <w:r w:rsidRPr="007D0A78">
        <w:rPr>
          <w:rFonts w:ascii="Arial" w:hAnsi="Arial" w:cs="Arial"/>
          <w:b/>
          <w:sz w:val="24"/>
          <w:szCs w:val="24"/>
          <w:lang w:val="es-MX"/>
        </w:rPr>
        <w:t>Events</w:t>
      </w:r>
      <w:proofErr w:type="spellEnd"/>
      <w:r w:rsidRPr="007D0A78">
        <w:rPr>
          <w:rFonts w:ascii="Arial" w:hAnsi="Arial" w:cs="Arial"/>
          <w:b/>
          <w:sz w:val="24"/>
          <w:szCs w:val="24"/>
          <w:lang w:val="es-MX"/>
        </w:rPr>
        <w:t xml:space="preserve"> dentro de la misma transacción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0A78" w:rsidRPr="007D0A78" w14:paraId="737D6EE1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45A6FF6A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32A15D1A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Contenido</w:t>
            </w:r>
          </w:p>
        </w:tc>
      </w:tr>
      <w:tr w:rsidR="007D0A78" w:rsidRPr="007D0A78" w14:paraId="0C39982A" w14:textId="77777777" w:rsidTr="008F029A">
        <w:tc>
          <w:tcPr>
            <w:tcW w:w="4680" w:type="dxa"/>
          </w:tcPr>
          <w:p w14:paraId="2E13B60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4680" w:type="dxa"/>
          </w:tcPr>
          <w:p w14:paraId="453B3A55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Propuesta</w:t>
            </w:r>
          </w:p>
        </w:tc>
      </w:tr>
      <w:tr w:rsidR="007D0A78" w:rsidRPr="007D0A78" w14:paraId="75E40A61" w14:textId="77777777" w:rsidTr="008F029A">
        <w:tc>
          <w:tcPr>
            <w:tcW w:w="4680" w:type="dxa"/>
          </w:tcPr>
          <w:p w14:paraId="188F291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Contexto</w:t>
            </w:r>
          </w:p>
        </w:tc>
        <w:tc>
          <w:tcPr>
            <w:tcW w:w="4680" w:type="dxa"/>
          </w:tcPr>
          <w:p w14:paraId="47287382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El BRD pide que el 100% de cancelaciones y modificaciones tenga usuario, fecha y motivo (P16: hoy no queda registro)</w:t>
            </w:r>
          </w:p>
        </w:tc>
      </w:tr>
      <w:tr w:rsidR="007D0A78" w:rsidRPr="007D0A78" w14:paraId="3D3DDFD2" w14:textId="77777777" w:rsidTr="008F029A">
        <w:tc>
          <w:tcPr>
            <w:tcW w:w="4680" w:type="dxa"/>
          </w:tcPr>
          <w:p w14:paraId="486F285E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6B6C852C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Registrar la auditoría de forma asíncrona: podría perderse si falla. Que cada </w:t>
            </w: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servicio la escriba a mano: se olvida en algún caso de uso</w:t>
            </w:r>
          </w:p>
        </w:tc>
      </w:tr>
      <w:tr w:rsidR="007D0A78" w:rsidRPr="007D0A78" w14:paraId="1969F3FA" w14:textId="77777777" w:rsidTr="008F029A">
        <w:tc>
          <w:tcPr>
            <w:tcW w:w="4680" w:type="dxa"/>
          </w:tcPr>
          <w:p w14:paraId="09C0586E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Decisión</w:t>
            </w:r>
          </w:p>
        </w:tc>
        <w:tc>
          <w:tcPr>
            <w:tcW w:w="4680" w:type="dxa"/>
          </w:tcPr>
          <w:p w14:paraId="330D1EF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Los eventos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CitaCancelada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CitaModificada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disparan un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handler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que crea el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RegistroDeAuditoria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antes de confirmar la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Unit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of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Work. Las notificaciones se envían después de confirmar</w:t>
            </w:r>
          </w:p>
        </w:tc>
      </w:tr>
      <w:tr w:rsidR="007D0A78" w:rsidRPr="007D0A78" w14:paraId="51F08070" w14:textId="77777777" w:rsidTr="008F029A">
        <w:tc>
          <w:tcPr>
            <w:tcW w:w="4680" w:type="dxa"/>
          </w:tcPr>
          <w:p w14:paraId="10C1762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68DF19D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No puede existir una cancelación sin su registro. La transacción es algo más larga y la auditoría depende de que el dominio emita el evento, por lo que cada cancelación debe tener su prueba</w:t>
            </w:r>
          </w:p>
        </w:tc>
      </w:tr>
      <w:tr w:rsidR="007D0A78" w:rsidRPr="007D0A78" w14:paraId="1F44A549" w14:textId="77777777" w:rsidTr="008F029A">
        <w:tc>
          <w:tcPr>
            <w:tcW w:w="4680" w:type="dxa"/>
          </w:tcPr>
          <w:p w14:paraId="127C2F4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412E10B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BRD (necesidad de evidencia y criterio de 100%); US-17, US-19; CU-04; sección 5</w:t>
            </w:r>
          </w:p>
        </w:tc>
      </w:tr>
    </w:tbl>
    <w:p w14:paraId="3DED989E" w14:textId="77777777" w:rsidR="007D0A78" w:rsidRDefault="007D0A78" w:rsidP="007D0A78">
      <w:pPr>
        <w:rPr>
          <w:rFonts w:ascii="Arial" w:hAnsi="Arial" w:cs="Arial"/>
          <w:b/>
          <w:sz w:val="24"/>
          <w:szCs w:val="24"/>
          <w:lang w:val="es-MX"/>
        </w:rPr>
      </w:pPr>
    </w:p>
    <w:p w14:paraId="2785A2B5" w14:textId="4D1BC8A7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b/>
          <w:sz w:val="24"/>
          <w:szCs w:val="24"/>
          <w:lang w:val="es-MX"/>
        </w:rPr>
        <w:t>ADR-004: CQRS básico con una sola base de datos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0A78" w:rsidRPr="007D0A78" w14:paraId="15EAB1B1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4CBFD4A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764D7E1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Contenido</w:t>
            </w:r>
          </w:p>
        </w:tc>
      </w:tr>
      <w:tr w:rsidR="007D0A78" w:rsidRPr="007D0A78" w14:paraId="17848B4F" w14:textId="77777777" w:rsidTr="008F029A">
        <w:tc>
          <w:tcPr>
            <w:tcW w:w="4680" w:type="dxa"/>
          </w:tcPr>
          <w:p w14:paraId="67AF807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4680" w:type="dxa"/>
          </w:tcPr>
          <w:p w14:paraId="52E0DCD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Propuesta</w:t>
            </w:r>
          </w:p>
        </w:tc>
      </w:tr>
      <w:tr w:rsidR="007D0A78" w:rsidRPr="007D0A78" w14:paraId="2289EB19" w14:textId="77777777" w:rsidTr="008F029A">
        <w:tc>
          <w:tcPr>
            <w:tcW w:w="4680" w:type="dxa"/>
          </w:tcPr>
          <w:p w14:paraId="52E1047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Contexto</w:t>
            </w:r>
          </w:p>
        </w:tc>
        <w:tc>
          <w:tcPr>
            <w:tcW w:w="4680" w:type="dxa"/>
          </w:tcPr>
          <w:p w14:paraId="1D74BD2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La pantalla de disponibilidad junta las tres sucursales y los reportes agrupan por sucursal y médico; no se parecen al modelo que protege las reglas. La clínica tiene alrededor de 35 médicos y tres sucursales</w:t>
            </w:r>
          </w:p>
        </w:tc>
      </w:tr>
      <w:tr w:rsidR="007D0A78" w:rsidRPr="007D0A78" w14:paraId="32DA088F" w14:textId="77777777" w:rsidTr="008F029A">
        <w:tc>
          <w:tcPr>
            <w:tcW w:w="4680" w:type="dxa"/>
          </w:tcPr>
          <w:p w14:paraId="200CD4B5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2748E731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Leer cargando Aggregates: lento y acopla las pantallas al dominio. CQRS completo con bases separadas: complejidad que el tamaño del negocio no justifica</w:t>
            </w:r>
          </w:p>
        </w:tc>
      </w:tr>
      <w:tr w:rsidR="007D0A78" w:rsidRPr="007D0A78" w14:paraId="1217F48A" w14:textId="77777777" w:rsidTr="008F029A">
        <w:tc>
          <w:tcPr>
            <w:tcW w:w="4680" w:type="dxa"/>
          </w:tcPr>
          <w:p w14:paraId="718733E8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Decisión</w:t>
            </w:r>
          </w:p>
        </w:tc>
        <w:tc>
          <w:tcPr>
            <w:tcW w:w="4680" w:type="dxa"/>
          </w:tcPr>
          <w:p w14:paraId="6ADF42F0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Commands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por el dominio y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Queries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por lectores con View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Models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propios, sobre la misma base de datos</w:t>
            </w:r>
          </w:p>
        </w:tc>
      </w:tr>
      <w:tr w:rsidR="007D0A78" w:rsidRPr="007D0A78" w14:paraId="0372A4F7" w14:textId="77777777" w:rsidTr="008F029A">
        <w:tc>
          <w:tcPr>
            <w:tcW w:w="4680" w:type="dxa"/>
          </w:tcPr>
          <w:p w14:paraId="3C0D15A5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5D0427AB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Las consultas no cargan agendas completas ni abren transacciones de </w:t>
            </w: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escritura. Hay dos caminos que mantener y el riesgo de que un lector repita una regla del dominio; se evita no poniendo lógica de negocio en los lectores</w:t>
            </w:r>
          </w:p>
        </w:tc>
      </w:tr>
      <w:tr w:rsidR="007D0A78" w:rsidRPr="007D0A78" w14:paraId="770CA467" w14:textId="77777777" w:rsidTr="008F029A">
        <w:tc>
          <w:tcPr>
            <w:tcW w:w="4680" w:type="dxa"/>
          </w:tcPr>
          <w:p w14:paraId="602F430A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Trazabilidad</w:t>
            </w:r>
          </w:p>
        </w:tc>
        <w:tc>
          <w:tcPr>
            <w:tcW w:w="4680" w:type="dxa"/>
          </w:tcPr>
          <w:p w14:paraId="102BB007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</w:rPr>
            </w:pPr>
            <w:r w:rsidRPr="007D0A78">
              <w:rPr>
                <w:rFonts w:ascii="Arial" w:hAnsi="Arial" w:cs="Arial"/>
                <w:sz w:val="24"/>
                <w:szCs w:val="24"/>
              </w:rPr>
              <w:t xml:space="preserve">US-01, US-11, US-14, US-15, US-16;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</w:rPr>
              <w:t>sección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</w:tr>
    </w:tbl>
    <w:p w14:paraId="533DA370" w14:textId="77777777" w:rsidR="007D0A78" w:rsidRDefault="007D0A78" w:rsidP="007D0A78">
      <w:pPr>
        <w:rPr>
          <w:rFonts w:ascii="Arial" w:hAnsi="Arial" w:cs="Arial"/>
          <w:b/>
          <w:sz w:val="24"/>
          <w:szCs w:val="24"/>
          <w:lang w:val="es-MX"/>
        </w:rPr>
      </w:pPr>
    </w:p>
    <w:p w14:paraId="3B0BF589" w14:textId="5F04B917" w:rsidR="007D0A78" w:rsidRPr="007D0A78" w:rsidRDefault="007D0A78" w:rsidP="007D0A78">
      <w:pPr>
        <w:rPr>
          <w:rFonts w:ascii="Arial" w:hAnsi="Arial" w:cs="Arial"/>
          <w:sz w:val="24"/>
          <w:szCs w:val="24"/>
          <w:lang w:val="es-MX"/>
        </w:rPr>
      </w:pPr>
      <w:r w:rsidRPr="007D0A78">
        <w:rPr>
          <w:rFonts w:ascii="Arial" w:hAnsi="Arial" w:cs="Arial"/>
          <w:b/>
          <w:sz w:val="24"/>
          <w:szCs w:val="24"/>
          <w:lang w:val="es-MX"/>
        </w:rPr>
        <w:t>ADR-005: Políticas por interfaz para reglas que el negocio no ha definido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0A78" w:rsidRPr="007D0A78" w14:paraId="5286097A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54D754D2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3DDE423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Contenido</w:t>
            </w:r>
          </w:p>
        </w:tc>
      </w:tr>
      <w:tr w:rsidR="007D0A78" w:rsidRPr="007D0A78" w14:paraId="2DB4B8B8" w14:textId="77777777" w:rsidTr="008F029A">
        <w:tc>
          <w:tcPr>
            <w:tcW w:w="4680" w:type="dxa"/>
          </w:tcPr>
          <w:p w14:paraId="7B266356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4680" w:type="dxa"/>
          </w:tcPr>
          <w:p w14:paraId="0ABDC82A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Propuesta</w:t>
            </w:r>
          </w:p>
        </w:tc>
      </w:tr>
      <w:tr w:rsidR="007D0A78" w:rsidRPr="007D0A78" w14:paraId="31768DF0" w14:textId="77777777" w:rsidTr="008F029A">
        <w:tc>
          <w:tcPr>
            <w:tcW w:w="4680" w:type="dxa"/>
          </w:tcPr>
          <w:p w14:paraId="091F2CE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Contexto</w:t>
            </w:r>
          </w:p>
        </w:tc>
        <w:tc>
          <w:tcPr>
            <w:tcW w:w="4680" w:type="dxa"/>
          </w:tcPr>
          <w:p w14:paraId="0C0B883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La política de no-</w:t>
            </w:r>
            <w:proofErr w:type="gram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shows</w:t>
            </w:r>
            <w:proofErr w:type="gram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la debe aprobar la dirección (P10) y las aseguradoras piden cosas distintas (P9). La guía prohíbe inventar reglas para acomodar una arquitectura</w:t>
            </w:r>
          </w:p>
        </w:tc>
      </w:tr>
      <w:tr w:rsidR="007D0A78" w:rsidRPr="007D0A78" w14:paraId="3D1035AD" w14:textId="77777777" w:rsidTr="008F029A">
        <w:tc>
          <w:tcPr>
            <w:tcW w:w="4680" w:type="dxa"/>
          </w:tcPr>
          <w:p w14:paraId="2C2FFABE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47B31A99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Fijar un umbral supuesto de no-</w:t>
            </w:r>
            <w:proofErr w:type="gram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shows</w:t>
            </w:r>
            <w:proofErr w:type="gram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: inventa una regla. Un condicional por aseguradora: crece con cada convenio</w:t>
            </w:r>
          </w:p>
        </w:tc>
      </w:tr>
      <w:tr w:rsidR="007D0A78" w:rsidRPr="007D0A78" w14:paraId="73771092" w14:textId="77777777" w:rsidTr="008F029A">
        <w:tc>
          <w:tcPr>
            <w:tcW w:w="4680" w:type="dxa"/>
          </w:tcPr>
          <w:p w14:paraId="31E7FC60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Decisión</w:t>
            </w:r>
          </w:p>
        </w:tc>
        <w:tc>
          <w:tcPr>
            <w:tcW w:w="4680" w:type="dxa"/>
          </w:tcPr>
          <w:p w14:paraId="2BC9B024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Interfaces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PoliticaDeNoShow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PoliticaDeAutorizacion</w:t>
            </w:r>
            <w:proofErr w:type="spell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con una implementación inicial que no sanciona (no-</w:t>
            </w:r>
            <w:proofErr w:type="gram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show</w:t>
            </w:r>
            <w:proofErr w:type="gram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) y que se apoya en el dato del catálogo de aseguradoras (autorización)</w:t>
            </w:r>
          </w:p>
        </w:tc>
      </w:tr>
      <w:tr w:rsidR="007D0A78" w:rsidRPr="007D0A78" w14:paraId="2C21BBF1" w14:textId="77777777" w:rsidTr="008F029A">
        <w:tc>
          <w:tcPr>
            <w:tcW w:w="4680" w:type="dxa"/>
          </w:tcPr>
          <w:p w14:paraId="39C3936C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1EFB5CBF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Se puede definir la política sin tocar los casos de uso. Mientras la dirección no decida, el sistema registra no-</w:t>
            </w:r>
            <w:proofErr w:type="gramStart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shows</w:t>
            </w:r>
            <w:proofErr w:type="gramEnd"/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 xml:space="preserve"> pero no actúa sobre ellos. Queda pendiente definir la política y sus escenarios</w:t>
            </w:r>
          </w:p>
        </w:tc>
      </w:tr>
      <w:tr w:rsidR="007D0A78" w:rsidRPr="007D0A78" w14:paraId="3B796602" w14:textId="77777777" w:rsidTr="008F029A">
        <w:tc>
          <w:tcPr>
            <w:tcW w:w="4680" w:type="dxa"/>
          </w:tcPr>
          <w:p w14:paraId="2533DB01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D0A78">
              <w:rPr>
                <w:rFonts w:ascii="Arial" w:hAnsi="Arial" w:cs="Arial"/>
                <w:sz w:val="24"/>
                <w:szCs w:val="24"/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51656FA8" w14:textId="77777777" w:rsidR="007D0A78" w:rsidRPr="007D0A78" w:rsidRDefault="007D0A78" w:rsidP="008F029A">
            <w:pPr>
              <w:rPr>
                <w:rFonts w:ascii="Arial" w:hAnsi="Arial" w:cs="Arial"/>
                <w:sz w:val="24"/>
                <w:szCs w:val="24"/>
              </w:rPr>
            </w:pPr>
            <w:r w:rsidRPr="007D0A78">
              <w:rPr>
                <w:rFonts w:ascii="Arial" w:hAnsi="Arial" w:cs="Arial"/>
                <w:sz w:val="24"/>
                <w:szCs w:val="24"/>
              </w:rPr>
              <w:t>P9, P10; US-12, US-14, US-20; CU-05; sección 3</w:t>
            </w:r>
          </w:p>
        </w:tc>
      </w:tr>
    </w:tbl>
    <w:p w14:paraId="5C23763B" w14:textId="77777777" w:rsidR="008B6707" w:rsidRPr="007D0A78" w:rsidRDefault="008B6707">
      <w:pPr>
        <w:rPr>
          <w:rFonts w:ascii="Arial" w:hAnsi="Arial" w:cs="Arial"/>
          <w:sz w:val="24"/>
          <w:szCs w:val="24"/>
        </w:rPr>
      </w:pPr>
    </w:p>
    <w:sectPr w:rsidR="008B6707" w:rsidRPr="007D0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78"/>
    <w:rsid w:val="000211F7"/>
    <w:rsid w:val="000E3A5F"/>
    <w:rsid w:val="007D0A78"/>
    <w:rsid w:val="008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9FCB"/>
  <w15:chartTrackingRefBased/>
  <w15:docId w15:val="{319161FE-D108-4152-AD16-B4A682C3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A78"/>
    <w:rPr>
      <w:rFonts w:ascii="Calibri" w:eastAsia="Calibri" w:hAnsi="Calibri" w:cs="Calibri"/>
      <w:kern w:val="0"/>
      <w:lang w:val="en-US"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A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A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A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A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A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A7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A78"/>
    <w:pPr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A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7D0A78"/>
    <w:rPr>
      <w:rFonts w:ascii="Calibri" w:eastAsia="Calibri" w:hAnsi="Calibri" w:cs="Calibri"/>
      <w:kern w:val="0"/>
      <w:lang w:val="en-US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LED JUAREZ LUNA</dc:creator>
  <cp:keywords/>
  <dc:description/>
  <cp:lastModifiedBy>CRISTOPHER LED JUAREZ LUNA</cp:lastModifiedBy>
  <cp:revision>1</cp:revision>
  <dcterms:created xsi:type="dcterms:W3CDTF">2026-10-15T16:24:00Z</dcterms:created>
  <dcterms:modified xsi:type="dcterms:W3CDTF">2026-10-15T16:26:00Z</dcterms:modified>
</cp:coreProperties>
</file>