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638"/>
      </w:tblGrid>
      <w:tr>
        <w:tc>
          <w:tcPr>
            <w:tcW w:type="dxa" w:w="9638"/>
            <w:shd w:val="clear" w:color="auto" w:fill="1F5A5F"/>
            <w:tcBorders>
              <w:top w:val="none"/>
              <w:bottom w:val="none"/>
              <w:left w:val="none"/>
              <w:right w:val="none"/>
            </w:tcBorders>
            <w:tcMar>
              <w:top w:w="140" w:type="dxa"/>
              <w:bottom w:w="140" w:type="dxa"/>
              <w:left w:w="180" w:type="dxa"/>
              <w:right w:w="180" w:type="dxa"/>
            </w:tcMar>
          </w:tcPr>
          <w:p>
            <w:pPr>
              <w:spacing w:before="0" w:after="0"/>
            </w:pPr>
            <w:r>
              <w:rPr>
                <w:rFonts w:ascii="Calibri Light" w:hAnsi="Calibri Light"/>
                <w:b/>
                <w:color w:val="FFFFFF"/>
                <w:sz w:val="32"/>
              </w:rPr>
              <w:t>Solecare Glasgow — Infection Control Policy</w:t>
            </w:r>
          </w:p>
          <w:p>
            <w:pPr>
              <w:spacing w:before="40" w:after="0"/>
            </w:pPr>
            <w:r>
              <w:rPr>
                <w:rFonts w:ascii="Calibri" w:hAnsi="Calibri"/>
                <w:i/>
                <w:color w:val="CCE5E6"/>
                <w:sz w:val="18"/>
              </w:rPr>
              <w:t>Covers standard infection control precautions and domiciliary (home visit) practice</w:t>
            </w:r>
          </w:p>
        </w:tc>
      </w:tr>
    </w:tbl>
    <w:p/>
    <w:tbl>
      <w:tblPr>
        <w:tblStyle w:val="TableGrid"/>
        <w:tblW w:type="auto" w:w="0"/>
        <w:tblLook w:firstColumn="1" w:firstRow="1" w:lastColumn="0" w:lastRow="0" w:noHBand="0" w:noVBand="1" w:val="04A0"/>
      </w:tblPr>
      <w:tblGrid>
        <w:gridCol w:w="9638"/>
      </w:tblGrid>
      <w:tr>
        <w:tc>
          <w:tcPr>
            <w:tcW w:type="dxa" w:w="9638"/>
            <w:shd w:val="clear" w:color="auto" w:fill="F0F7F7"/>
            <w:tcBorders>
              <w:top w:val="single" w:sz="12" w:color="2E7D83"/>
              <w:bottom w:val="single" w:sz="12" w:color="2E7D83"/>
              <w:left w:val="single" w:sz="12" w:color="2E7D83"/>
              <w:right w:val="single" w:sz="12" w:color="2E7D83"/>
            </w:tcBorders>
            <w:tcMar>
              <w:top w:w="120" w:type="dxa"/>
              <w:bottom w:w="120" w:type="dxa"/>
              <w:left w:w="160" w:type="dxa"/>
              <w:right w:w="160" w:type="dxa"/>
            </w:tcMar>
          </w:tcPr>
          <w:p>
            <w:r>
              <w:rPr>
                <w:rFonts w:ascii="Calibri" w:hAnsi="Calibri"/>
                <w:color w:val="1F1F1F"/>
                <w:sz w:val="18"/>
              </w:rPr>
              <w:t>Reference standards: NHS National Infection Prevention and Control Manual (NIPCM) v2.10, May 2024  |  RCPod Clinical Standards 5 (Infection Control) and 9 (Domiciliary Care)  |  HCPC Standards of Conduct, Performance and Ethics 2024, Standards 6.1 and 6.2</w:t>
            </w:r>
          </w:p>
        </w:tc>
      </w:tr>
    </w:tbl>
    <w:p/>
    <w:tbl>
      <w:tblPr>
        <w:tblStyle w:val="TableGrid"/>
        <w:tblW w:type="auto" w:w="0"/>
        <w:jc w:val="left"/>
        <w:tblLook w:firstColumn="1" w:firstRow="1" w:lastColumn="0" w:lastRow="0" w:noHBand="0" w:noVBand="1" w:val="04A0"/>
      </w:tblPr>
      <w:tblGrid>
        <w:gridCol w:w="1984"/>
        <w:gridCol w:w="2693"/>
        <w:gridCol w:w="1984"/>
        <w:gridCol w:w="2693"/>
      </w:tblGrid>
      <w:tr>
        <w:tc>
          <w:tcPr>
            <w:tcW w:type="dxa" w:w="1984"/>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Practitioner:</w:t>
            </w:r>
          </w:p>
        </w:tc>
        <w:tc>
          <w:tcPr>
            <w:tcW w:type="dxa" w:w="2693"/>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r/>
          </w:p>
        </w:tc>
        <w:tc>
          <w:tcPr>
            <w:tcW w:type="dxa" w:w="1984"/>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HCPC registration no.:</w:t>
            </w:r>
          </w:p>
        </w:tc>
        <w:tc>
          <w:tcPr>
            <w:tcW w:type="dxa" w:w="2693"/>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r/>
          </w:p>
        </w:tc>
      </w:tr>
      <w:tr>
        <w:tc>
          <w:tcPr>
            <w:tcW w:type="dxa" w:w="1984"/>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Policy version:</w:t>
            </w:r>
            <w:r>
              <w:rPr>
                <w:i/>
                <w:color w:val="4A4A4A"/>
                <w:sz w:val="16"/>
              </w:rPr>
              <w:br/>
              <w:t>1.0</w:t>
            </w:r>
          </w:p>
        </w:tc>
        <w:tc>
          <w:tcPr>
            <w:tcW w:type="dxa" w:w="2693"/>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r/>
          </w:p>
        </w:tc>
        <w:tc>
          <w:tcPr>
            <w:tcW w:type="dxa" w:w="1984"/>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Date written:</w:t>
            </w:r>
            <w:r>
              <w:rPr>
                <w:i/>
                <w:color w:val="4A4A4A"/>
                <w:sz w:val="16"/>
              </w:rPr>
              <w:br/>
              <w:t>September 2026</w:t>
            </w:r>
          </w:p>
        </w:tc>
        <w:tc>
          <w:tcPr>
            <w:tcW w:type="dxa" w:w="2693"/>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r/>
          </w:p>
        </w:tc>
      </w:tr>
      <w:tr>
        <w:tc>
          <w:tcPr>
            <w:tcW w:type="dxa" w:w="1984"/>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Next review date:</w:t>
            </w:r>
            <w:r>
              <w:rPr>
                <w:i/>
                <w:color w:val="4A4A4A"/>
                <w:sz w:val="16"/>
              </w:rPr>
              <w:br/>
              <w:t>September 2027  (review annually or after any IPC incident)</w:t>
            </w:r>
          </w:p>
        </w:tc>
        <w:tc>
          <w:tcPr>
            <w:tcW w:type="dxa" w:w="2693"/>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r/>
          </w:p>
        </w:tc>
        <w:tc>
          <w:tcPr>
            <w:tcW w:type="dxa" w:w="1984"/>
            <w:shd w:val="clear" w:color="auto" w:fill="F0F7F7"/>
            <w:tcBorders>
              <w:top w:val="single" w:sz="4" w:color="D4E3E4"/>
              <w:bottom w:val="single" w:sz="4" w:color="D4E3E4"/>
              <w:left w:val="single" w:sz="4" w:color="D4E3E4"/>
              <w:right w:val="single" w:sz="4" w:color="D4E3E4"/>
            </w:tcBorders>
          </w:tcPr>
          <w:p/>
        </w:tc>
        <w:tc>
          <w:tcPr>
            <w:tcW w:type="dxa" w:w="2693"/>
            <w:shd w:val="clear" w:color="auto" w:fill="FFFFFF"/>
            <w:tcBorders>
              <w:top w:val="single" w:sz="4" w:color="D4E3E4"/>
              <w:bottom w:val="single" w:sz="4" w:color="D4E3E4"/>
              <w:left w:val="single" w:sz="4" w:color="D4E3E4"/>
              <w:right w:val="single" w:sz="4" w:color="D4E3E4"/>
            </w:tcBorders>
          </w:tcPr>
          <w:p/>
        </w:tc>
      </w:tr>
    </w:tbl>
    <w:p/>
    <w:p>
      <w:pPr>
        <w:spacing w:before="160" w:after="80"/>
      </w:pPr>
      <w:r>
        <w:rPr>
          <w:rFonts w:ascii="Calibri Light" w:hAnsi="Calibri Light"/>
          <w:b/>
          <w:color w:val="1F5A5F"/>
          <w:sz w:val="24"/>
        </w:rPr>
        <w:t>1. Scope and purpose</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p>
      <w:pPr>
        <w:spacing w:before="0" w:after="80"/>
      </w:pPr>
      <w:r>
        <w:rPr>
          <w:rFonts w:ascii="Calibri" w:hAnsi="Calibri"/>
          <w:i w:val="0"/>
          <w:color w:val="1F1F1F"/>
          <w:sz w:val="20"/>
        </w:rPr>
        <w:t>This policy applies to all podiatry treatment provided by Solecare Glasgow, including all domiciliary (home visit) appointments. It sets out the standard infection control precautions (SICPs) used at every patient contact and the additional measures specific to working in uncontrolled domestic environments. Compliance with this policy is mandatory at every visit.</w:t>
      </w:r>
    </w:p>
    <w:p>
      <w:pPr>
        <w:spacing w:before="160" w:after="80"/>
      </w:pPr>
      <w:r>
        <w:rPr>
          <w:rFonts w:ascii="Calibri Light" w:hAnsi="Calibri Light"/>
          <w:b/>
          <w:color w:val="1F5A5F"/>
          <w:sz w:val="24"/>
        </w:rPr>
        <w:t>2. Instruments — single-use only</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p>
      <w:pPr>
        <w:spacing w:before="0" w:after="80"/>
      </w:pPr>
      <w:r>
        <w:rPr>
          <w:rFonts w:ascii="Calibri" w:hAnsi="Calibri"/>
          <w:i w:val="0"/>
          <w:color w:val="1F1F1F"/>
          <w:sz w:val="20"/>
        </w:rPr>
        <w:t>All instruments used in this practice are single-use, sterile, and sourced from a licensed medical device supplier. No reusable instruments are in use. No decontamination equipment (autoclave) is required or held. The single-use symbol on packaging (a circle with a line through a '2') confirms single-use designation. Used instruments are disposed of as clinical waste immediately after use. Instruments are never reused between patients under any circumstance.</w:t>
      </w:r>
    </w:p>
    <w:p>
      <w:pPr>
        <w:spacing w:before="160" w:after="80"/>
      </w:pPr>
      <w:r>
        <w:rPr>
          <w:rFonts w:ascii="Calibri Light" w:hAnsi="Calibri Light"/>
          <w:b/>
          <w:color w:val="1F5A5F"/>
          <w:sz w:val="24"/>
        </w:rPr>
        <w:t>3. Hand hygiene</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p>
      <w:pPr>
        <w:spacing w:before="0" w:after="80"/>
      </w:pPr>
      <w:r>
        <w:rPr>
          <w:rFonts w:ascii="Calibri" w:hAnsi="Calibri"/>
          <w:i w:val="0"/>
          <w:color w:val="1F1F1F"/>
          <w:sz w:val="20"/>
        </w:rPr>
        <w:t>Hand hygiene is performed at the five WHO moments: before patient contact, before a clean/aseptic procedure, after body fluid exposure, after patient contact, and after contact with the patient's surroundings.</w:t>
      </w:r>
    </w:p>
    <w:p>
      <w:pPr>
        <w:spacing w:before="60" w:after="60"/>
      </w:pPr>
      <w:r>
        <w:rPr>
          <w:rFonts w:ascii="Calibri" w:hAnsi="Calibri"/>
          <w:b/>
          <w:color w:val="1F5A5F"/>
          <w:sz w:val="20"/>
        </w:rPr>
        <w:t xml:space="preserve">ABHR (alcohol-based hand rub, minimum 60% alcohol): </w:t>
      </w:r>
      <w:r>
        <w:rPr>
          <w:rFonts w:ascii="Calibri" w:hAnsi="Calibri"/>
          <w:color w:val="1F1F1F"/>
          <w:sz w:val="20"/>
        </w:rPr>
        <w:t>used when hands are not visibly soiled and there is no known C. difficile or norovirus risk.</w:t>
      </w:r>
    </w:p>
    <w:p>
      <w:pPr>
        <w:spacing w:before="60" w:after="60"/>
      </w:pPr>
      <w:r>
        <w:rPr>
          <w:rFonts w:ascii="Calibri" w:hAnsi="Calibri"/>
          <w:b/>
          <w:color w:val="1F5A5F"/>
          <w:sz w:val="20"/>
        </w:rPr>
        <w:t xml:space="preserve">Soap and water (patient's kitchen or bathroom sink): </w:t>
      </w:r>
      <w:r>
        <w:rPr>
          <w:rFonts w:ascii="Calibri" w:hAnsi="Calibri"/>
          <w:color w:val="1F1F1F"/>
          <w:sz w:val="20"/>
        </w:rPr>
        <w:t>mandatory when hands are visibly soiled; after body fluid contact; suspected C. difficile or norovirus exposure.</w:t>
      </w:r>
    </w:p>
    <w:p>
      <w:pPr>
        <w:spacing w:before="0" w:after="80"/>
      </w:pPr>
      <w:r>
        <w:rPr>
          <w:rFonts w:ascii="Calibri" w:hAnsi="Calibri"/>
          <w:i w:val="0"/>
          <w:color w:val="1F1F1F"/>
          <w:sz w:val="20"/>
        </w:rPr>
        <w:t>In domiciliary settings, the patient's domestic sink is the accepted clinical equivalent of a clinical hand-wash basin. This is a documented control, not a compliance gap. ABHR is carried at all times as a supplement.</w:t>
      </w:r>
    </w:p>
    <w:p>
      <w:pPr>
        <w:spacing w:before="0" w:after="80"/>
      </w:pPr>
      <w:r>
        <w:rPr>
          <w:rFonts w:ascii="Calibri" w:hAnsi="Calibri"/>
          <w:i w:val="0"/>
          <w:color w:val="1F1F1F"/>
          <w:sz w:val="20"/>
        </w:rPr>
        <w:t>Hand hygiene is performed after removing PPE (doffing) before leaving the treatment area.</w:t>
      </w:r>
    </w:p>
    <w:p>
      <w:pPr>
        <w:spacing w:before="160" w:after="80"/>
      </w:pPr>
      <w:r>
        <w:rPr>
          <w:rFonts w:ascii="Calibri Light" w:hAnsi="Calibri Light"/>
          <w:b/>
          <w:color w:val="1F5A5F"/>
          <w:sz w:val="24"/>
        </w:rPr>
        <w:t>4. PPE selection</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p>
      <w:pPr>
        <w:spacing w:before="0" w:after="80"/>
      </w:pPr>
      <w:r>
        <w:rPr>
          <w:rFonts w:ascii="Calibri" w:hAnsi="Calibri"/>
          <w:i w:val="0"/>
          <w:color w:val="1F1F1F"/>
          <w:sz w:val="20"/>
        </w:rPr>
        <w:t>PPE is selected according to the procedure risk:</w:t>
      </w:r>
    </w:p>
    <w:tbl>
      <w:tblPr>
        <w:tblStyle w:val="TableGrid"/>
        <w:tblW w:type="auto" w:w="0"/>
        <w:tblLook w:firstColumn="1" w:firstRow="1" w:lastColumn="0" w:lastRow="0" w:noHBand="0" w:noVBand="1" w:val="04A0"/>
      </w:tblPr>
      <w:tblGrid>
        <w:gridCol w:w="4819"/>
        <w:gridCol w:w="4819"/>
      </w:tblGrid>
      <w:tr>
        <w:tc>
          <w:tcPr>
            <w:tcW w:type="dxa" w:w="4819"/>
            <w:shd w:val="clear" w:color="auto" w:fill="2E7D83"/>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FFFFFF"/>
                <w:sz w:val="18"/>
              </w:rPr>
              <w:t>Procedure</w:t>
            </w:r>
          </w:p>
        </w:tc>
        <w:tc>
          <w:tcPr>
            <w:tcW w:type="dxa" w:w="4819"/>
            <w:shd w:val="clear" w:color="auto" w:fill="2E7D83"/>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b/>
                <w:color w:val="FFFFFF"/>
                <w:sz w:val="18"/>
              </w:rPr>
              <w:t>Minimum PPE</w:t>
            </w:r>
          </w:p>
        </w:tc>
      </w:tr>
      <w:tr>
        <w:tc>
          <w:tcPr>
            <w:tcW w:type="dxa" w:w="4819"/>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Routine nail care, skin assessment, dressings</w:t>
            </w:r>
          </w:p>
        </w:tc>
        <w:tc>
          <w:tcPr>
            <w:tcW w:type="dxa" w:w="4819"/>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Nitrile gloves + disposable apron</w:t>
            </w:r>
          </w:p>
        </w:tc>
      </w:tr>
      <w:tr>
        <w:tc>
          <w:tcPr>
            <w:tcW w:type="dxa" w:w="4819"/>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Nail surgery, debridement with bleeding risk</w:t>
            </w:r>
          </w:p>
        </w:tc>
        <w:tc>
          <w:tcPr>
            <w:tcW w:type="dxa" w:w="4819"/>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Nitrile gloves + apron + Type IIR fluid-resistant mask + eye protection</w:t>
            </w:r>
          </w:p>
        </w:tc>
      </w:tr>
      <w:tr>
        <w:tc>
          <w:tcPr>
            <w:tcW w:type="dxa" w:w="4819"/>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Body fluid spill management</w:t>
            </w:r>
          </w:p>
        </w:tc>
        <w:tc>
          <w:tcPr>
            <w:tcW w:type="dxa" w:w="4819"/>
            <w:shd w:val="clear" w:color="auto" w:fill="F0F7F7"/>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Heavy nitrile gloves + apron + face shield</w:t>
            </w:r>
          </w:p>
        </w:tc>
      </w:tr>
      <w:tr>
        <w:tc>
          <w:tcPr>
            <w:tcW w:type="dxa" w:w="4819"/>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All visits where household infectious illness reported</w:t>
            </w:r>
          </w:p>
        </w:tc>
        <w:tc>
          <w:tcPr>
            <w:tcW w:type="dxa" w:w="4819"/>
            <w:shd w:val="clear" w:color="auto" w:fill="FFFFFF"/>
            <w:tcBorders>
              <w:top w:val="single" w:sz="4" w:color="D4E3E4"/>
              <w:bottom w:val="single" w:sz="4" w:color="D4E3E4"/>
              <w:left w:val="single" w:sz="4" w:color="D4E3E4"/>
              <w:right w:val="single" w:sz="4" w:color="D4E3E4"/>
            </w:tcBorders>
            <w:tcMar>
              <w:top w:w="60" w:type="dxa"/>
              <w:bottom w:w="60" w:type="dxa"/>
              <w:left w:w="100" w:type="dxa"/>
              <w:right w:w="100" w:type="dxa"/>
            </w:tcMar>
          </w:tcPr>
          <w:p>
            <w:r>
              <w:rPr>
                <w:rFonts w:ascii="Calibri" w:hAnsi="Calibri"/>
                <w:color w:val="1F1F1F"/>
                <w:sz w:val="18"/>
              </w:rPr>
              <w:t>Gloves + apron + Type IIR mask (minimum)</w:t>
            </w:r>
          </w:p>
        </w:tc>
      </w:tr>
    </w:tbl>
    <w:p/>
    <w:p>
      <w:pPr>
        <w:spacing w:before="0" w:after="80"/>
      </w:pPr>
      <w:r>
        <w:rPr>
          <w:rFonts w:ascii="Calibri" w:hAnsi="Calibri"/>
          <w:i w:val="0"/>
          <w:color w:val="1F1F1F"/>
          <w:sz w:val="20"/>
        </w:rPr>
        <w:t>Gloves are changed between patients. Gloves are changed within a patient appointment if moving from a contaminated to a clean procedure. Gloves are never reused or washed. PPE is donned before patient contact and doffed before leaving the treatment area. All used PPE is disposed of as clinical waste.</w:t>
      </w:r>
    </w:p>
    <w:p>
      <w:pPr>
        <w:spacing w:before="160" w:after="80"/>
      </w:pPr>
      <w:r>
        <w:rPr>
          <w:rFonts w:ascii="Calibri Light" w:hAnsi="Calibri Light"/>
          <w:b/>
          <w:color w:val="1F5A5F"/>
          <w:sz w:val="24"/>
        </w:rPr>
        <w:t>5. Domiciliary clean field</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p>
      <w:pPr>
        <w:spacing w:before="0" w:after="80"/>
      </w:pPr>
      <w:r>
        <w:rPr>
          <w:rFonts w:ascii="Calibri" w:hAnsi="Calibri"/>
          <w:i w:val="0"/>
          <w:color w:val="1F1F1F"/>
          <w:sz w:val="20"/>
        </w:rPr>
        <w:t>A disposable paper drape (minimum 45 x 60 cm) is used as a clean field at every visit before instruments are placed out. The drape is placed on any available surface — kitchen table, tray, footstool. The surface beneath is never treated as clean. Instruments remain on the drape until used, and the drape is disposed of as clinical waste after use. Clean and contaminated items are never mixed. The practitioner works in one direction — clean to contaminated — and does not cross back.</w:t>
      </w:r>
    </w:p>
    <w:p>
      <w:pPr>
        <w:spacing w:before="160" w:after="80"/>
      </w:pPr>
      <w:r>
        <w:rPr>
          <w:rFonts w:ascii="Calibri Light" w:hAnsi="Calibri Light"/>
          <w:b/>
          <w:color w:val="1F5A5F"/>
          <w:sz w:val="24"/>
        </w:rPr>
        <w:t>6. Nail surgery skin preparation</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p>
      <w:pPr>
        <w:spacing w:before="0" w:after="80"/>
      </w:pPr>
      <w:r>
        <w:rPr>
          <w:rFonts w:ascii="Calibri" w:hAnsi="Calibri"/>
          <w:i w:val="0"/>
          <w:color w:val="1F1F1F"/>
          <w:sz w:val="20"/>
        </w:rPr>
        <w:t>Skin antisepsis for nail surgery follows NICE NG125: 0.5% chlorhexidine gluconate in 70% isopropyl alcohol (e.g. ChloraPrep applicator wand or equivalent). Apply to the surgical site with a single-use sterile applicator. Allow a minimum of 30 seconds to air-dry before incision. Do not blot or fan. Do not use spirits alone. Failure to allow full drying creates a fire risk and reduces antiseptic efficacy. A sterile drape is applied after the site has dried.</w:t>
      </w:r>
    </w:p>
    <w:p>
      <w:pPr>
        <w:spacing w:before="160" w:after="80"/>
      </w:pPr>
      <w:r>
        <w:rPr>
          <w:rFonts w:ascii="Calibri Light" w:hAnsi="Calibri Light"/>
          <w:b/>
          <w:color w:val="1F5A5F"/>
          <w:sz w:val="24"/>
        </w:rPr>
        <w:t>7. Body fluid spill management</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p>
      <w:pPr>
        <w:spacing w:before="60" w:after="60"/>
      </w:pPr>
      <w:r>
        <w:rPr>
          <w:rFonts w:ascii="Calibri" w:hAnsi="Calibri"/>
          <w:b/>
          <w:color w:val="1F5A5F"/>
          <w:sz w:val="20"/>
        </w:rPr>
        <w:t xml:space="preserve">Blood or body fluid on hard surface: </w:t>
      </w:r>
      <w:r>
        <w:rPr>
          <w:rFonts w:ascii="Calibri" w:hAnsi="Calibri"/>
          <w:color w:val="1F1F1F"/>
          <w:sz w:val="20"/>
        </w:rPr>
      </w:r>
    </w:p>
    <w:p>
      <w:pPr>
        <w:pStyle w:val="ListBullet"/>
        <w:spacing w:before="40" w:after="40"/>
      </w:pPr>
      <w:r>
        <w:rPr>
          <w:rFonts w:ascii="Calibri" w:hAnsi="Calibri"/>
          <w:color w:val="1F1F1F"/>
          <w:sz w:val="20"/>
        </w:rPr>
        <w:t>Don heavy nitrile gloves, apron, face shield before approaching the spill.</w:t>
      </w:r>
    </w:p>
    <w:p>
      <w:pPr>
        <w:pStyle w:val="ListBullet"/>
        <w:spacing w:before="40" w:after="40"/>
      </w:pPr>
      <w:r>
        <w:rPr>
          <w:rFonts w:ascii="Calibri" w:hAnsi="Calibri"/>
          <w:color w:val="1F1F1F"/>
          <w:sz w:val="20"/>
        </w:rPr>
        <w:t>Apply absorbent paper towels or granules to the spill.</w:t>
      </w:r>
    </w:p>
    <w:p>
      <w:pPr>
        <w:pStyle w:val="ListBullet"/>
        <w:spacing w:before="40" w:after="40"/>
      </w:pPr>
      <w:r>
        <w:rPr>
          <w:rFonts w:ascii="Calibri" w:hAnsi="Calibri"/>
          <w:color w:val="1F1F1F"/>
          <w:sz w:val="20"/>
        </w:rPr>
        <w:t>Apply 10,000 ppm sodium hypochlorite solution or wipes; leave 3 minutes contact time.</w:t>
      </w:r>
    </w:p>
    <w:p>
      <w:pPr>
        <w:pStyle w:val="ListBullet"/>
        <w:spacing w:before="40" w:after="40"/>
      </w:pPr>
      <w:r>
        <w:rPr>
          <w:rFonts w:ascii="Calibri" w:hAnsi="Calibri"/>
          <w:color w:val="1F1F1F"/>
          <w:sz w:val="20"/>
        </w:rPr>
        <w:t>Remove material and clean surface. Dispose as clinical waste.</w:t>
      </w:r>
    </w:p>
    <w:p>
      <w:pPr>
        <w:pStyle w:val="ListBullet"/>
        <w:spacing w:before="40" w:after="40"/>
      </w:pPr>
      <w:r>
        <w:rPr>
          <w:rFonts w:ascii="Calibri" w:hAnsi="Calibri"/>
          <w:color w:val="1F1F1F"/>
          <w:sz w:val="20"/>
        </w:rPr>
        <w:t>Remove PPE. Perform hand hygiene.</w:t>
      </w:r>
    </w:p>
    <w:p>
      <w:pPr>
        <w:spacing w:before="60" w:after="60"/>
      </w:pPr>
      <w:r>
        <w:rPr>
          <w:rFonts w:ascii="Calibri" w:hAnsi="Calibri"/>
          <w:b/>
          <w:color w:val="1F5A5F"/>
          <w:sz w:val="20"/>
        </w:rPr>
        <w:t xml:space="preserve">Urine spill or spill on soft furnishings: </w:t>
      </w:r>
      <w:r>
        <w:rPr>
          <w:rFonts w:ascii="Calibri" w:hAnsi="Calibri"/>
          <w:color w:val="1F1F1F"/>
          <w:sz w:val="20"/>
        </w:rPr>
        <w:t>Use 1,000 ppm hypochlorite or detergent only — 10,000 ppm hypochlorite damages soft surfaces and reacts with urine.</w:t>
      </w:r>
    </w:p>
    <w:p>
      <w:pPr>
        <w:spacing w:before="0" w:after="80"/>
      </w:pPr>
      <w:r>
        <w:rPr>
          <w:rFonts w:ascii="Calibri" w:hAnsi="Calibri"/>
          <w:i w:val="0"/>
          <w:color w:val="1F1F1F"/>
          <w:sz w:val="20"/>
        </w:rPr>
        <w:t>Document all spill events in IPC_Visit_Log.xlsx.</w:t>
      </w:r>
    </w:p>
    <w:p>
      <w:pPr>
        <w:spacing w:before="160" w:after="80"/>
      </w:pPr>
      <w:r>
        <w:rPr>
          <w:rFonts w:ascii="Calibri Light" w:hAnsi="Calibri Light"/>
          <w:b/>
          <w:color w:val="1F5A5F"/>
          <w:sz w:val="24"/>
        </w:rPr>
        <w:t>8. Clinical waste</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p>
      <w:pPr>
        <w:spacing w:before="0" w:after="80"/>
      </w:pPr>
      <w:r>
        <w:rPr>
          <w:rFonts w:ascii="Calibri" w:hAnsi="Calibri"/>
          <w:i w:val="0"/>
          <w:color w:val="1F1F1F"/>
          <w:sz w:val="20"/>
        </w:rPr>
        <w:t>All clinical waste is segregated at point of generation and never placed in the patient's household waste bin. Waste streams: sharps into UN3291-approved sharps container at point of use; infectious soft waste into yellow/orange clinical waste bags; offensive waste (dry nail clippings, unsoiled PPE) into tiger-stripe bags. Sealed bags are transported in a rigid, lockable outer container in the vehicle. See Clinical_Waste_Log.xlsx for consignment note records.</w:t>
      </w:r>
    </w:p>
    <w:p>
      <w:pPr>
        <w:spacing w:before="160" w:after="80"/>
      </w:pPr>
      <w:r>
        <w:rPr>
          <w:rFonts w:ascii="Calibri Light" w:hAnsi="Calibri Light"/>
          <w:b/>
          <w:color w:val="1F5A5F"/>
          <w:sz w:val="24"/>
        </w:rPr>
        <w:t>9. Pre-visit screening</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p>
      <w:pPr>
        <w:spacing w:before="0" w:after="80"/>
      </w:pPr>
      <w:r>
        <w:rPr>
          <w:rFonts w:ascii="Calibri" w:hAnsi="Calibri"/>
          <w:i w:val="0"/>
          <w:color w:val="1F1F1F"/>
          <w:sz w:val="20"/>
        </w:rPr>
        <w:t>Before a first visit and after any reported household illness, conduct a brief telephone screening call: Is there active diarrhoea or vomiting in the household? Has any household member been recently diagnosed with a communicable infection? Are there any recent changes to the patient's health? If active gastrointestinal illness is reported, defer the appointment by at least 48 hours after the last symptom.</w:t>
      </w:r>
    </w:p>
    <w:p>
      <w:pPr>
        <w:spacing w:before="160" w:after="80"/>
      </w:pPr>
      <w:r>
        <w:rPr>
          <w:rFonts w:ascii="Calibri Light" w:hAnsi="Calibri Light"/>
          <w:b/>
          <w:color w:val="1F5A5F"/>
          <w:sz w:val="24"/>
        </w:rPr>
        <w:t>10. Hepatitis B immunity</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p>
      <w:pPr>
        <w:spacing w:before="0" w:after="80"/>
      </w:pPr>
      <w:r>
        <w:rPr>
          <w:rFonts w:ascii="Calibri" w:hAnsi="Calibri"/>
          <w:i w:val="0"/>
          <w:color w:val="1F1F1F"/>
          <w:sz w:val="20"/>
        </w:rPr>
        <w:t>Documented evidence of Hepatitis B immunity is held on file. If immunity cannot be confirmed, the practitioner will consult their GP before treating patients.</w:t>
      </w:r>
    </w:p>
    <w:p>
      <w:pPr>
        <w:spacing w:before="160" w:after="80"/>
      </w:pPr>
      <w:r>
        <w:rPr>
          <w:rFonts w:ascii="Calibri Light" w:hAnsi="Calibri Light"/>
          <w:b/>
          <w:color w:val="1F5A5F"/>
          <w:sz w:val="24"/>
        </w:rPr>
        <w:t>11. Annual review and CPD</w:t>
      </w:r>
    </w:p>
    <w:tbl>
      <w:tblPr>
        <w:tblW w:type="auto" w:w="0"/>
        <w:tblLook w:firstColumn="1" w:firstRow="1" w:lastColumn="0" w:lastRow="0" w:noHBand="0" w:noVBand="1" w:val="04A0"/>
      </w:tblPr>
      <w:tblGrid>
        <w:gridCol w:w="9638"/>
      </w:tblGrid>
      <w:tr>
        <w:trPr>
          <w:trHeight w:val="80" w:hRule="exact"/>
        </w:trPr>
        <w:tc>
          <w:tcPr>
            <w:tcW w:type="dxa" w:w="9638"/>
            <w:shd w:val="clear" w:color="auto" w:fill="2E7D83"/>
            <w:tcBorders>
              <w:top w:val="none"/>
              <w:bottom w:val="none"/>
              <w:left w:val="none"/>
              <w:right w:val="none"/>
            </w:tcBorders>
          </w:tcPr>
          <w:p/>
        </w:tc>
      </w:tr>
    </w:tbl>
    <w:p/>
    <w:p>
      <w:pPr>
        <w:spacing w:before="0" w:after="80"/>
      </w:pPr>
      <w:r>
        <w:rPr>
          <w:rFonts w:ascii="Calibri" w:hAnsi="Calibri"/>
          <w:i w:val="0"/>
          <w:color w:val="1F1F1F"/>
          <w:sz w:val="20"/>
        </w:rPr>
        <w:t>This policy is reviewed and re-signed annually, and after any IPC incident. At least one IPC-related CPD entry is completed per calendar year and logged in CPD_Log.xlsx.</w:t>
      </w:r>
    </w:p>
    <w:p/>
    <w:tbl>
      <w:tblPr>
        <w:tblStyle w:val="TableGrid"/>
        <w:tblW w:type="auto" w:w="0"/>
        <w:tblLook w:firstColumn="1" w:firstRow="1" w:lastColumn="0" w:lastRow="0" w:noHBand="0" w:noVBand="1" w:val="04A0"/>
      </w:tblPr>
      <w:tblGrid>
        <w:gridCol w:w="3213"/>
        <w:gridCol w:w="3213"/>
        <w:gridCol w:w="3213"/>
      </w:tblGrid>
      <w:tr>
        <w:tc>
          <w:tcPr>
            <w:tcW w:type="dxa" w:w="9639"/>
            <w:gridSpan w:val="3"/>
            <w:shd w:val="clear" w:color="auto" w:fill="2E7D83"/>
            <w:tcBorders>
              <w:top w:val="single" w:sz="4" w:color="2E7D83"/>
              <w:bottom w:val="single" w:sz="4" w:color="2E7D83"/>
              <w:left w:val="single" w:sz="4" w:color="2E7D83"/>
              <w:right w:val="single" w:sz="4" w:color="2E7D83"/>
            </w:tcBorders>
            <w:tcMar>
              <w:top w:w="80" w:type="dxa"/>
              <w:bottom w:w="80" w:type="dxa"/>
              <w:left w:w="108" w:type="dxa"/>
              <w:right w:w="108" w:type="dxa"/>
            </w:tcMar>
          </w:tcPr>
          <w:p>
            <w:r>
              <w:rPr>
                <w:rFonts w:ascii="Calibri" w:hAnsi="Calibri"/>
                <w:b/>
                <w:color w:val="FFFFFF"/>
                <w:sz w:val="18"/>
              </w:rPr>
              <w:t>Practitioner — annual review signature and date</w:t>
            </w:r>
          </w:p>
        </w:tc>
      </w:tr>
      <w:tr>
        <w:trPr>
          <w:trHeight w:val="560" w:hRule="atLeast"/>
        </w:trPr>
        <w:tc>
          <w:tcPr>
            <w:tcW w:type="dxa" w:w="3213"/>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Full name:</w:t>
            </w:r>
          </w:p>
        </w:tc>
        <w:tc>
          <w:tcPr>
            <w:tcW w:type="dxa" w:w="6426"/>
            <w:shd w:val="clear" w:color="auto" w:fill="FFFFFF"/>
            <w:gridSpan w:val="2"/>
            <w:tcBorders>
              <w:top w:val="single" w:sz="4" w:color="D4E3E4"/>
              <w:bottom w:val="single" w:sz="4" w:color="D4E3E4"/>
              <w:left w:val="single" w:sz="4" w:color="D4E3E4"/>
              <w:right w:val="single" w:sz="4" w:color="D4E3E4"/>
            </w:tcBorders>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tc>
      </w:tr>
      <w:tr>
        <w:trPr>
          <w:trHeight w:val="560" w:hRule="atLeast"/>
        </w:trPr>
        <w:tc>
          <w:tcPr>
            <w:tcW w:type="dxa" w:w="3213"/>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Signature:</w:t>
            </w:r>
          </w:p>
        </w:tc>
        <w:tc>
          <w:tcPr>
            <w:tcW w:type="dxa" w:w="6426"/>
            <w:shd w:val="clear" w:color="auto" w:fill="FFFFFF"/>
            <w:gridSpan w:val="2"/>
            <w:tcBorders>
              <w:top w:val="single" w:sz="4" w:color="D4E3E4"/>
              <w:bottom w:val="single" w:sz="4" w:color="D4E3E4"/>
              <w:left w:val="single" w:sz="4" w:color="D4E3E4"/>
              <w:right w:val="single" w:sz="4" w:color="D4E3E4"/>
            </w:tcBorders>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tc>
      </w:tr>
      <w:tr>
        <w:trPr>
          <w:trHeight w:val="560" w:hRule="atLeast"/>
        </w:trPr>
        <w:tc>
          <w:tcPr>
            <w:tcW w:type="dxa" w:w="3213"/>
            <w:shd w:val="clear" w:color="auto" w:fill="F0F7F7"/>
            <w:tcBorders>
              <w:top w:val="single" w:sz="4" w:color="D4E3E4"/>
              <w:bottom w:val="single" w:sz="4" w:color="D4E3E4"/>
              <w:left w:val="single" w:sz="4" w:color="D4E3E4"/>
              <w:right w:val="single" w:sz="4" w:color="D4E3E4"/>
            </w:tcBorders>
            <w:tcMar>
              <w:top w:w="80" w:type="dxa"/>
              <w:bottom w:w="80" w:type="dxa"/>
              <w:left w:w="108" w:type="dxa"/>
              <w:right w:w="108" w:type="dxa"/>
            </w:tcMar>
          </w:tcPr>
          <w:p>
            <w:r>
              <w:rPr>
                <w:rFonts w:ascii="Calibri" w:hAnsi="Calibri"/>
                <w:b/>
                <w:color w:val="1F5A5F"/>
                <w:sz w:val="18"/>
              </w:rPr>
              <w:t>Date:</w:t>
            </w:r>
          </w:p>
        </w:tc>
        <w:tc>
          <w:tcPr>
            <w:tcW w:type="dxa" w:w="6426"/>
            <w:shd w:val="clear" w:color="auto" w:fill="FFFFFF"/>
            <w:gridSpan w:val="2"/>
            <w:tcBorders>
              <w:top w:val="single" w:sz="4" w:color="D4E3E4"/>
              <w:bottom w:val="single" w:sz="4" w:color="D4E3E4"/>
              <w:left w:val="single" w:sz="4" w:color="D4E3E4"/>
              <w:right w:val="single" w:sz="4" w:color="D4E3E4"/>
            </w:tcBorders>
            <w:shd w:val="clear" w:color="auto" w:fill="FFFFFF"/>
            <w:tcBorders>
              <w:top w:val="single" w:sz="4" w:color="D4E3E4"/>
              <w:bottom w:val="single" w:sz="4" w:color="D4E3E4"/>
              <w:left w:val="single" w:sz="4" w:color="D4E3E4"/>
              <w:right w:val="single" w:sz="4" w:color="D4E3E4"/>
            </w:tcBorders>
            <w:tcMar>
              <w:top w:w="80" w:type="dxa"/>
              <w:bottom w:w="80" w:type="dxa"/>
              <w:left w:w="108" w:type="dxa"/>
              <w:right w:w="108" w:type="dxa"/>
            </w:tcMar>
          </w:tcPr>
          <w:p/>
        </w:tc>
      </w:tr>
    </w:tbl>
    <w:p/>
    <w:p>
      <w:pPr>
        <w:spacing w:before="80"/>
        <w:jc w:val="center"/>
      </w:pPr>
      <w:r>
        <w:rPr>
          <w:rFonts w:ascii="Calibri" w:hAnsi="Calibri"/>
          <w:i/>
          <w:color w:val="4A4A4A"/>
          <w:sz w:val="16"/>
        </w:rPr>
        <w:t>Solecare Glasgow  |  Infection Control Policy  |  Review annually  |  Version 1.0  |  September 2026</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