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5A5F"/>
            <w:tcBorders>
              <w:top w:val="none"/>
              <w:bottom w:val="none"/>
              <w:left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 Light" w:hAnsi="Calibri Light"/>
                <w:b/>
                <w:color w:val="FFFFFF"/>
                <w:sz w:val="32"/>
              </w:rPr>
              <w:t>Solecare Glasgow — Health and Safety Risk Assessment</w:t>
            </w:r>
          </w:p>
          <w:p>
            <w:pPr>
              <w:spacing w:before="40" w:after="0"/>
            </w:pPr>
            <w:r>
              <w:rPr>
                <w:rFonts w:ascii="Calibri" w:hAnsi="Calibri"/>
                <w:i/>
                <w:color w:val="CCE5E6"/>
                <w:sz w:val="18"/>
              </w:rPr>
              <w:t>HSWA 1974  |  MHSWR 1999  |  COSHH 2002  |  Manual Handling Operations Regulations 1992  |  HSE INDG73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7"/>
            <w:tcBorders>
              <w:top w:val="single" w:sz="12" w:color="2E7D83"/>
              <w:bottom w:val="single" w:sz="12" w:color="2E7D83"/>
              <w:left w:val="single" w:sz="12" w:color="2E7D83"/>
              <w:right w:val="single" w:sz="12" w:color="2E7D83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1F1F1F"/>
                <w:sz w:val="18"/>
              </w:rPr>
              <w:t>Risk scoring: Likelihood (L) 1=unlikely, 2=possible, 3=likely  |  Severity (S) 1=minor, 2=moderate, 3=serious  |  Risk = L x S  |  1-2 = Low (green)  |  3-4 = Medium (amber)  |  6-9 = High (red — immediate action)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693"/>
        <w:gridCol w:w="1984"/>
        <w:gridCol w:w="2693"/>
      </w:tblGrid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Practitioner: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Practice type:</w:t>
            </w:r>
            <w:r>
              <w:rPr>
                <w:i/>
                <w:color w:val="4A4A4A"/>
                <w:sz w:val="16"/>
              </w:rPr>
              <w:br/>
              <w:t>Mobile sole-trader domiciliary podiatry — single-use instruments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  <w:tr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Assessment date: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  <w:tc>
          <w:tcPr>
            <w:tcW w:type="dxa" w:w="1984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Next review date:</w:t>
            </w:r>
            <w:r>
              <w:rPr>
                <w:i/>
                <w:color w:val="4A4A4A"/>
                <w:sz w:val="16"/>
              </w:rPr>
              <w:br/>
              <w:t>Annual, or after any incident or significant change in practice</w:t>
            </w:r>
          </w:p>
        </w:tc>
        <w:tc>
          <w:tcPr>
            <w:tcW w:type="dxa" w:w="269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/>
          </w:p>
        </w:tc>
      </w:tr>
    </w:tbl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Section A — General and Domiciliary Hazards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Hazard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Who at risk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Existing controls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</w:t>
              <w:br/>
              <w:t>(1-3)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</w:t>
              <w:br/>
              <w:t>(1-3)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</w:t>
              <w:br/>
              <w:t>(LxS)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Additional action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Sharps injury — scalpel blades, needles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Single-use only. Dispose at point of use into UN3291 sharps bin. Never resheath. Written protocol.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Annual sharps protocol review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Blood/body fluid exposure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PPE: gloves + apron + mask/eye protection for surgical procedures. Spill kit carried. Post-exposure protocol documented.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BBV immunisation confirmed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Infection — patient cross-contamination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Patient, Practitioner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SICPs at all visits. Single-use instruments. Clean field. Pre-visit screening call. Full IPC policy in place.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Annual IPC policy review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Unstable seating / working posture (domiciliary)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Portable footrest and folding stool carried. Assess environment on arrival. Do not treat from floor.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4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MSK check-in annually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Manual handling — equipment transport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Kit bag weight target under 15 kg. Use rucksack (two-shoulder carry). Heavy items carried separately.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4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Weigh kit quarterly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Trip hazards in patient home (rugs, cables, pets, clutter)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Dynamic risk assessment on arrival. Request clear pathway to treatment area. Move obstacles before treating.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B5E20"/>
                <w:sz w:val="16"/>
              </w:rPr>
              <w:t>2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Record at-risk premises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Poor lighting in patient home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Practitioner, Patient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Carry portable examination light for inadequate-lighting environments.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4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Check light at each visit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Aggressive or unexpected behaviour — patient or household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Pre-visit screening call for new patients. Flagged patients register maintained. Lone worker check-in system active.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De-escalation training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Aggressive pets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Ask at booking whether pets are present. Request pets are secured before visit. Add to flagged register.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4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Update register after each visit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 medical emergency (no colleague present)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Lone worker check-in system — emergency contact has schedule and escalation steps. Mobile phone always charged and accessible.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Annual emergency review</w:t>
            </w:r>
          </w:p>
        </w:tc>
      </w:tr>
    </w:tbl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Section B — Vehicle and Waste Transport Hazards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Hazard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Who at risk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Existing controls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</w:t>
              <w:br/>
              <w:t>(1-3)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</w:t>
              <w:br/>
              <w:t>(1-3)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</w:t>
              <w:br/>
              <w:t>(LxS)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Additional action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Clinical waste unsecured in vehicle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Public, Practitioner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Rigid lockable outer transport box in boot. Sharps in sealed UN3291 container inside box. Never loose bags in vehicle.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Check before each journey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Local anaesthetic temperature excursion (&gt;25°C)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Patient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Insulated medicines bag in vehicle. Temperature log maintained. Never left in hot vehicle unattended.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4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Seasonal check of bag efficacy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Road traffic collision during clinical waste transport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Public, Practitioner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Lower Tier EA waste carrier registered. ADR 1.3 training completed. 2kg dry powder fire extinguisher in vehicle.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Annual insurance review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Contamination of clean supplies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Patient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Separate labelled containers for clean and contaminated items. Never mixed.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Check segregation system weekly</w:t>
            </w:r>
          </w:p>
        </w:tc>
      </w:tr>
    </w:tbl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Section C — Lone Worker Specific Hazards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Hazard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Who at risk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Existing controls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</w:t>
              <w:br/>
              <w:t>(1-3)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</w:t>
              <w:br/>
              <w:t>(1-3)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</w:t>
              <w:br/>
              <w:t>(LxS)</w:t>
            </w:r>
          </w:p>
        </w:tc>
        <w:tc>
          <w:tcPr>
            <w:tcW w:type="dxa" w:w="1377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Additional action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No colleague awareness of location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Daily movement log shared with named emergency contact before first visit. Check-in after each patient. End-of-day confirmation.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Test escalation steps annually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Delayed check-in response — contact not available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Emergency contact is a reliable named individual. Alternative emergency contact identified.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3</w:t>
            </w:r>
          </w:p>
        </w:tc>
        <w:tc>
          <w:tcPr>
            <w:tcW w:type="dxa" w:w="1377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Review contact annually</w:t>
            </w:r>
          </w:p>
        </w:tc>
      </w:tr>
      <w:tr>
        <w:trPr>
          <w:trHeight w:val="360" w:hRule="atLeast"/>
        </w:trPr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Working in unfamiliar areas / late visits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Practitioner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  <w:t>No lone visits after dark to unfamiliar addresses. Google Maps pre-checked. Park in visible location.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85C00"/>
                <w:sz w:val="16"/>
              </w:rPr>
              <w:t>4</w:t>
            </w:r>
          </w:p>
        </w:tc>
        <w:tc>
          <w:tcPr>
            <w:tcW w:type="dxa" w:w="1377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1F1F"/>
                <w:sz w:val="16"/>
              </w:rPr>
            </w:r>
          </w:p>
        </w:tc>
      </w:tr>
    </w:tbl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COSHH — Substances used in practice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A separate COSHH assessment is completed for each hazardous substance using the manufacturer's Safety Data Sheet (SDS). Substances requiring COSHH assessment in this practice include: 0.5% chlorhexidine in 70% isopropyl alcohol (skin prep); sodium hypochlorite solution (spill disinfection); surface disinfectant wipes (Clinell or equivalent); alcohol-based hand rub; local anaesthetic agents (lidocaine, etc.).</w:t>
      </w:r>
    </w:p>
    <w:p>
      <w:pPr>
        <w:spacing w:before="0" w:after="80"/>
      </w:pPr>
      <w:r>
        <w:rPr>
          <w:rFonts w:ascii="Calibri" w:hAnsi="Calibri"/>
          <w:i/>
          <w:color w:val="4A4A4A"/>
          <w:sz w:val="18"/>
        </w:rPr>
        <w:t>COSHH assessments are filed separately. COSHHmate.co.uk is the recommended tool for generating assessments from SDS data.</w:t>
      </w:r>
    </w:p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Review and signature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p>
      <w:pPr>
        <w:spacing w:before="0" w:after="80"/>
      </w:pPr>
      <w:r>
        <w:rPr>
          <w:rFonts w:ascii="Calibri" w:hAnsi="Calibri"/>
          <w:i w:val="0"/>
          <w:color w:val="1F1F1F"/>
          <w:sz w:val="20"/>
        </w:rPr>
        <w:t>This risk assessment must be reviewed: at least annually; after any incident, near-miss, or RIDDOR-reportable event; after any significant change to practice, patient group, or working environment.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2E7D83"/>
            <w:tcBorders>
              <w:top w:val="single" w:sz="4" w:color="2E7D83"/>
              <w:bottom w:val="single" w:sz="4" w:color="2E7D83"/>
              <w:left w:val="single" w:sz="4" w:color="2E7D83"/>
              <w:right w:val="single" w:sz="4" w:color="2E7D83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Practitioner — assessment signature and date</w:t>
            </w:r>
          </w:p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Full name: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Signature: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  <w:tr>
        <w:trPr>
          <w:trHeight w:val="56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>
            <w:r>
              <w:rPr>
                <w:rFonts w:ascii="Calibri" w:hAnsi="Calibri"/>
                <w:b/>
                <w:color w:val="1F5A5F"/>
                <w:sz w:val="18"/>
              </w:rPr>
              <w:t>Date:</w:t>
            </w:r>
          </w:p>
        </w:tc>
        <w:tc>
          <w:tcPr>
            <w:tcW w:type="dxa" w:w="6426"/>
            <w:shd w:val="clear" w:color="auto" w:fill="FFFFFF"/>
            <w:gridSpan w:val="2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80" w:type="dxa"/>
              <w:bottom w:w="80" w:type="dxa"/>
              <w:left w:w="108" w:type="dxa"/>
              <w:right w:w="108" w:type="dxa"/>
            </w:tcMar>
          </w:tcPr>
          <w:p/>
        </w:tc>
      </w:tr>
    </w:tbl>
    <w:p/>
    <w:p>
      <w:pPr>
        <w:spacing w:before="160" w:after="80"/>
      </w:pPr>
      <w:r>
        <w:rPr>
          <w:rFonts w:ascii="Calibri Light" w:hAnsi="Calibri Light"/>
          <w:b/>
          <w:color w:val="1F5A5F"/>
          <w:sz w:val="24"/>
        </w:rPr>
        <w:t>Review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80" w:hRule="exact"/>
        </w:trPr>
        <w:tc>
          <w:tcPr>
            <w:tcW w:type="dxa" w:w="9638"/>
            <w:shd w:val="clear" w:color="auto" w:fill="2E7D83"/>
            <w:tcBorders>
              <w:top w:val="none"/>
              <w:bottom w:val="none"/>
              <w:left w:val="none"/>
              <w:right w:val="none"/>
            </w:tcBorders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5669"/>
        <w:gridCol w:w="1984"/>
      </w:tblGrid>
      <w:tr>
        <w:tc>
          <w:tcPr>
            <w:tcW w:type="dxa" w:w="3213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Review date</w:t>
            </w:r>
          </w:p>
        </w:tc>
        <w:tc>
          <w:tcPr>
            <w:tcW w:type="dxa" w:w="3213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Changes made</w:t>
            </w:r>
          </w:p>
        </w:tc>
        <w:tc>
          <w:tcPr>
            <w:tcW w:type="dxa" w:w="3213"/>
            <w:shd w:val="clear" w:color="auto" w:fill="2E7D83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Signature</w:t>
            </w:r>
          </w:p>
        </w:tc>
      </w:tr>
      <w:tr>
        <w:trPr>
          <w:trHeight w:val="40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rPr>
          <w:trHeight w:val="400" w:hRule="atLeast"/>
        </w:trPr>
        <w:tc>
          <w:tcPr>
            <w:tcW w:type="dxa" w:w="321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rPr>
          <w:trHeight w:val="40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rPr>
          <w:trHeight w:val="400" w:hRule="atLeast"/>
        </w:trPr>
        <w:tc>
          <w:tcPr>
            <w:tcW w:type="dxa" w:w="321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FFFFF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  <w:tr>
        <w:trPr>
          <w:trHeight w:val="400" w:hRule="atLeast"/>
        </w:trPr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  <w:tc>
          <w:tcPr>
            <w:tcW w:type="dxa" w:w="3213"/>
            <w:shd w:val="clear" w:color="auto" w:fill="F0F7F7"/>
            <w:tcBorders>
              <w:top w:val="single" w:sz="4" w:color="D4E3E4"/>
              <w:bottom w:val="single" w:sz="4" w:color="D4E3E4"/>
              <w:left w:val="single" w:sz="4" w:color="D4E3E4"/>
              <w:right w:val="single" w:sz="4" w:color="D4E3E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/>
        </w:tc>
      </w:tr>
    </w:tbl>
    <w:p>
      <w:pPr>
        <w:spacing w:before="80"/>
        <w:jc w:val="center"/>
      </w:pPr>
      <w:r>
        <w:rPr>
          <w:rFonts w:ascii="Calibri" w:hAnsi="Calibri"/>
          <w:i/>
          <w:color w:val="4A4A4A"/>
          <w:sz w:val="16"/>
        </w:rPr>
        <w:t>Solecare Glasgow  |  H&amp;S Risk Assessment  |  Review annually  |  Version 1.0  |  September 2026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