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5A5F"/>
            <w:tcBorders>
              <w:top w:val="none"/>
              <w:bottom w:val="none"/>
              <w:left w:val="none"/>
              <w:right w:val="none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 Light" w:hAnsi="Calibri Light"/>
                <w:b/>
                <w:color w:val="FFFFFF"/>
                <w:sz w:val="32"/>
              </w:rPr>
              <w:t>Solecare Glasgow — Sharps Protocol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CCE5E6"/>
                <w:sz w:val="18"/>
              </w:rPr>
              <w:t>Health and Safety (Sharp Instruments in Healthcare) Regulations 2013  |  Environmental Protection Act 1990</w:t>
            </w:r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Principles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All sharps used in this practice (scalpel blades, needles, lancets) are single-use only. No resheathing of needles. No passing sharps between hands. Dispose at the point of use, immediately.</w:t>
      </w:r>
    </w:p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Container assembly and management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Assemble a new sharps container at the start of each working period. Record in the Sharps Container Log (IPC_Visit_Log.xlsx).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Check the fill level before each visit. Seal the container when it reaches the three-quarter full mark — never overfill.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The container must be UN3291-approved and BS 7320 compliant (yellow lid, rigid sides).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Seal, label, and date the container when three-quarters full. Record date and container ref in the log.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Transport sealed containers inside a rigid, lockable outer transport box in the vehicle. Never transport loose bags. Never transport open or overfilled containers.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Store sealed containers at the base address in a secure, labelled location separate from household waste until carrier collection.</w:t>
      </w:r>
    </w:p>
    <w:p>
      <w:pPr>
        <w:pStyle w:val="ListBullet"/>
        <w:spacing w:before="40" w:after="40"/>
      </w:pPr>
      <w:r>
        <w:rPr>
          <w:rFonts w:ascii="Calibri" w:hAnsi="Calibri"/>
          <w:color w:val="1F1F1F"/>
          <w:sz w:val="20"/>
        </w:rPr>
        <w:t>Arrange carrier collection promptly. Issue a Hazardous Waste Consignment Note. Retain the signed copy for 3 years.</w:t>
      </w:r>
    </w:p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Sharps injury response — IMMEDIATE ACTION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12" w:color="2E7D83"/>
              <w:bottom w:val="single" w:sz="12" w:color="2E7D83"/>
              <w:left w:val="single" w:sz="12" w:color="2E7D83"/>
              <w:right w:val="single" w:sz="12" w:color="2E7D83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7C2820"/>
                <w:sz w:val="18"/>
              </w:rPr>
              <w:t>1. STOP the procedure immediately.</w:t>
              <w:br/>
              <w:t>2. Remove gloves carefully.</w:t>
              <w:br/>
              <w:t>3. Wash the wound under running water for at least 2 minutes. Do not suck the wound.</w:t>
              <w:br/>
              <w:t>4. Encourage gentle bleeding if the wound is puncture-type — do not squeeze.</w:t>
              <w:br/>
              <w:t>5. Cover with a waterproof plaster.</w:t>
              <w:br/>
              <w:t>6. Document immediately in Incident_Log.xlsx and the Sharps Injury Detail sheet.</w:t>
              <w:br/>
              <w:t>7. Call the patient's GP or A&amp;E within 1 hour for BBV (blood-borne virus) risk assessment and advice on PEP if indicated.</w:t>
              <w:br/>
              <w:t>8. Notify your professional indemnity insurer if the patient's blood-borne virus status is unknown.</w:t>
              <w:br/>
              <w:t>9. Review risk assessment and update sharps handling procedure if the injury reveals a hazard.</w:t>
            </w:r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Sharps injury record — complete immediately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0" w:after="80"/>
      </w:pPr>
      <w:r>
        <w:rPr>
          <w:rFonts w:ascii="Calibri" w:hAnsi="Calibri"/>
          <w:i/>
          <w:color w:val="4A4A4A"/>
          <w:sz w:val="18"/>
        </w:rPr>
        <w:t>Also complete the full Sharps Injury Detail sheet in Incident_Log.xlsx.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and time: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Device type and procedure: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Visible blood contamination?</w:t>
            </w:r>
            <w:r>
              <w:rPr>
                <w:i/>
                <w:color w:val="4A4A4A"/>
                <w:sz w:val="16"/>
              </w:rPr>
              <w:br/>
              <w:t>Y / N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Patient reference: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9354"/>
            <w:gridSpan w:val="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Immediate action taken:</w:t>
            </w:r>
          </w:p>
        </w:tc>
      </w:tr>
      <w:tr>
        <w:trPr>
          <w:trHeight w:val="480" w:hRule="atLeast"/>
        </w:trPr>
        <w:tc>
          <w:tcPr>
            <w:tcW w:type="dxa" w:w="9354"/>
            <w:gridSpan w:val="4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100" w:type="dxa"/>
              <w:bottom w:w="10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Medical advice sought (time/provider):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BBV risk assessment outcome: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Follow-up required?</w:t>
            </w:r>
            <w:r>
              <w:rPr>
                <w:i/>
                <w:color w:val="4A4A4A"/>
                <w:sz w:val="16"/>
              </w:rPr>
              <w:br/>
              <w:t>Y / N / Dates: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9639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Practitioner signature and date</w:t>
            </w:r>
          </w:p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3213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6426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</w:tbl>
    <w:p/>
    <w:p>
      <w:pPr>
        <w:spacing w:before="80"/>
        <w:jc w:val="center"/>
      </w:pPr>
      <w:r>
        <w:rPr>
          <w:rFonts w:ascii="Calibri" w:hAnsi="Calibri"/>
          <w:i/>
          <w:color w:val="4A4A4A"/>
          <w:sz w:val="16"/>
        </w:rPr>
        <w:t>Solecare Glasgow  |  Sharps Protocol  |  Review annually  |  Version 1.0  |  September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