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5A5F"/>
            <w:tcBorders>
              <w:top w:val="none"/>
              <w:bottom w:val="none"/>
              <w:left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 Light" w:hAnsi="Calibri Light"/>
                <w:b/>
                <w:color w:val="FFFFFF"/>
                <w:sz w:val="32"/>
              </w:rPr>
              <w:t>Solecare Glasgow — Lone Worker Emergency Procedures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E5E6"/>
                <w:sz w:val="18"/>
              </w:rPr>
              <w:t>Give a copy to your named emergency contact. Keep a copy in your kit bag.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7"/>
            <w:tcBorders>
              <w:top w:val="single" w:sz="12" w:color="2E7D83"/>
              <w:bottom w:val="single" w:sz="12" w:color="2E7D83"/>
              <w:left w:val="single" w:sz="12" w:color="2E7D83"/>
              <w:right w:val="single" w:sz="12" w:color="2E7D83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keepNext/>
            </w:pPr>
            <w:r>
              <w:rPr>
                <w:rFonts w:ascii="Calibri" w:hAnsi="Calibri"/>
                <w:color w:val="1F1F1F"/>
                <w:sz w:val="18"/>
              </w:rPr>
              <w:t>This document is the emergency contact's action plan. Complete the details below before the first working day. Review contact details and escalation steps at least annually.</w:t>
            </w:r>
          </w:p>
        </w:tc>
      </w:tr>
    </w:tbl>
    <w:p>
      <w:pPr>
        <w:spacing w:before="0" w:after="80"/>
      </w:pPr>
    </w:p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Practitioner details</w:t>
      </w:r>
    </w:p>
    <w:p>
      <w:pPr>
        <w:keepNext/>
        <w:spacing w:before="0" w:after="120"/>
        <w:pBdr>
          <w:bottom w:val="single" w:sz="12" w:space="1" w:color="2E7D83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693"/>
        <w:gridCol w:w="1984"/>
        <w:gridCol w:w="2693"/>
      </w:tblGrid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Practitioner name: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Mobile (primary):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Vehicle registration: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Vehicle make/model/colour: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Professional indemnity insurer: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PI insurer emergency number: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</w:tbl>
    <w:p/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Emergency contact details</w:t>
      </w:r>
    </w:p>
    <w:p>
      <w:pPr>
        <w:keepNext/>
        <w:spacing w:before="0" w:after="120"/>
        <w:pBdr>
          <w:bottom w:val="single" w:sz="12" w:space="1" w:color="2E7D83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693"/>
        <w:gridCol w:w="1984"/>
        <w:gridCol w:w="2693"/>
      </w:tblGrid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Emergency contact name: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Relationship: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Mobile: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Home / alternative number: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</w:tbl>
    <w:p/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Daily procedure</w:t>
      </w:r>
    </w:p>
    <w:p>
      <w:pPr>
        <w:keepNext/>
        <w:spacing w:before="0" w:after="120"/>
        <w:pBdr>
          <w:bottom w:val="single" w:sz="12" w:space="1" w:color="2E7D83"/>
        </w:pBdr>
      </w:pPr>
    </w:p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Before each working day, the practitioner will share a copy of the Daily Movement Log with the emergency contact (by text, email, or WhatsApp). The log includes: all patient addresses for the day, appointment times, and expected finish times. The practitioner will send a check-in message after each patient visit and an end-of-day confirmation when home safely.</w:t>
      </w:r>
    </w:p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Escalation steps — if a check-in is missed</w:t>
      </w:r>
    </w:p>
    <w:p>
      <w:pPr>
        <w:keepNext/>
        <w:spacing w:before="0" w:after="120"/>
        <w:pBdr>
          <w:bottom w:val="single" w:sz="12" w:space="1" w:color="2E7D83"/>
        </w:pBdr>
      </w:pPr>
    </w:p>
    <w:p>
      <w:pPr>
        <w:spacing w:before="80" w:after="0"/>
      </w:pPr>
      <w:r>
        <w:rPr>
          <w:rFonts w:ascii="Calibri" w:hAnsi="Calibri"/>
          <w:b/>
          <w:color w:val="1F5A5F"/>
          <w:sz w:val="20"/>
        </w:rPr>
        <w:t xml:space="preserve">Step 1 — Wait 15 minutes past the expected check-in time. </w:t>
      </w:r>
      <w:r>
        <w:rPr>
          <w:rFonts w:ascii="Calibri" w:hAnsi="Calibri"/>
          <w:color w:val="1F1F1F"/>
          <w:sz w:val="20"/>
        </w:rPr>
        <w:t>A delayed appointment or traffic may be the cause. Do not call the patient address at this stage.</w:t>
      </w:r>
    </w:p>
    <w:p>
      <w:pPr>
        <w:spacing w:before="80" w:after="0"/>
      </w:pPr>
      <w:r>
        <w:rPr>
          <w:rFonts w:ascii="Calibri" w:hAnsi="Calibri"/>
          <w:b/>
          <w:color w:val="1F5A5F"/>
          <w:sz w:val="20"/>
        </w:rPr>
        <w:t xml:space="preserve">Step 2 — Call the practitioner's mobile. </w:t>
      </w:r>
      <w:r>
        <w:rPr>
          <w:rFonts w:ascii="Calibri" w:hAnsi="Calibri"/>
          <w:color w:val="1F1F1F"/>
          <w:sz w:val="20"/>
        </w:rPr>
        <w:t>If no answer, leave a message and try again after 10 minutes.</w:t>
      </w:r>
    </w:p>
    <w:p>
      <w:pPr>
        <w:spacing w:before="80" w:after="0"/>
      </w:pPr>
      <w:r>
        <w:rPr>
          <w:rFonts w:ascii="Calibri" w:hAnsi="Calibri"/>
          <w:b/>
          <w:color w:val="1F5A5F"/>
          <w:sz w:val="20"/>
        </w:rPr>
        <w:t xml:space="preserve">Step 3 — If no answer after two attempts (25 minutes total), </w:t>
      </w:r>
      <w:r>
        <w:rPr>
          <w:rFonts w:ascii="Calibri" w:hAnsi="Calibri"/>
          <w:color w:val="1F1F1F"/>
          <w:sz w:val="20"/>
        </w:rPr>
        <w:t>call the last known patient address from the Movement Log. Ask whether the practitioner has left.</w:t>
      </w:r>
    </w:p>
    <w:p>
      <w:pPr>
        <w:spacing w:before="80" w:after="0"/>
      </w:pPr>
      <w:r>
        <w:rPr>
          <w:rFonts w:ascii="Calibri" w:hAnsi="Calibri"/>
          <w:b/>
          <w:color w:val="1F5A5F"/>
          <w:sz w:val="20"/>
        </w:rPr>
        <w:t xml:space="preserve">Step 4 — If location is still unknown after a further 15 minutes (40 minutes total), </w:t>
      </w:r>
      <w:r>
        <w:rPr>
          <w:rFonts w:ascii="Calibri" w:hAnsi="Calibri"/>
          <w:color w:val="1F1F1F"/>
          <w:sz w:val="20"/>
        </w:rPr>
        <w:t>call 999. Give them: practitioner name, vehicle description and registration, last known address from the Movement Log, and this document.</w:t>
      </w:r>
    </w:p>
    <w:p>
      <w:pPr>
        <w:spacing w:before="80" w:after="0"/>
      </w:pPr>
      <w:r>
        <w:rPr>
          <w:rFonts w:ascii="Calibri" w:hAnsi="Calibri"/>
          <w:b/>
          <w:color w:val="1F5A5F"/>
          <w:sz w:val="20"/>
        </w:rPr>
        <w:t xml:space="preserve">Step 5 — Notify the PI insurer </w:t>
      </w:r>
      <w:r>
        <w:rPr>
          <w:rFonts w:ascii="Calibri" w:hAnsi="Calibri"/>
          <w:color w:val="1F1F1F"/>
          <w:sz w:val="20"/>
        </w:rPr>
        <w:t>using the number above. They can advise on further steps.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  <w:tcBorders>
              <w:top w:val="single" w:sz="12" w:color="2E7D83"/>
              <w:bottom w:val="single" w:sz="12" w:color="2E7D83"/>
              <w:left w:val="single" w:sz="12" w:color="2E7D83"/>
              <w:right w:val="single" w:sz="12" w:color="2E7D83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keepNext/>
            </w:pPr>
            <w:r>
              <w:rPr>
                <w:rFonts w:ascii="Calibri" w:hAnsi="Calibri"/>
                <w:color w:val="7C2820"/>
                <w:sz w:val="18"/>
              </w:rPr>
              <w:t>If in doubt at any stage — call 999. Better a false alarm than a delayed response.</w:t>
            </w:r>
          </w:p>
        </w:tc>
      </w:tr>
    </w:tbl>
    <w:p>
      <w:pPr>
        <w:spacing w:before="0" w:after="80"/>
      </w:pPr>
    </w:p>
    <w:p>
      <w:pPr>
        <w:keepNext/>
        <w:spacing w:before="200" w:after="0"/>
      </w:pPr>
      <w:r>
        <w:rPr>
          <w:rFonts w:ascii="Calibri Light" w:hAnsi="Calibri Light"/>
          <w:b/>
          <w:color w:val="1F5A5F"/>
          <w:sz w:val="24"/>
        </w:rPr>
        <w:t>Signatures — both parties confirm they have read and agreed this plan</w:t>
      </w:r>
    </w:p>
    <w:p>
      <w:pPr>
        <w:keepNext/>
        <w:spacing w:before="0" w:after="120"/>
        <w:pBdr>
          <w:bottom w:val="single" w:sz="12" w:space="1" w:color="2E7D8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818"/>
            <w:gridSpan w:val="3"/>
            <w:shd w:val="clear" w:color="auto" w:fill="2E7D83"/>
            <w:tcBorders>
              <w:top w:val="single" w:sz="4" w:color="2E7D83"/>
              <w:bottom w:val="single" w:sz="4" w:color="2E7D83"/>
              <w:left w:val="single" w:sz="4" w:color="2E7D83"/>
              <w:right w:val="single" w:sz="4" w:color="2E7D83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Practitioner</w:t>
            </w:r>
          </w:p>
        </w:tc>
        <w:tc>
          <w:tcPr>
            <w:tcW w:type="dxa" w:w="4818"/>
            <w:gridSpan w:val="3"/>
            <w:shd w:val="clear" w:color="auto" w:fill="2E7D83"/>
            <w:tcBorders>
              <w:top w:val="single" w:sz="4" w:color="2E7D83"/>
              <w:bottom w:val="single" w:sz="4" w:color="2E7D83"/>
              <w:left w:val="single" w:sz="4" w:color="2E7D83"/>
              <w:right w:val="single" w:sz="4" w:color="2E7D83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Emergency contact</w:t>
            </w:r>
          </w:p>
        </w:tc>
      </w:tr>
      <w:tr>
        <w:trPr>
          <w:trHeight w:val="560" w:hRule="atLeast"/>
        </w:trPr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Full name: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Full name: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Signature: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Signature: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  <w:tc>
          <w:tcPr>
            <w:tcW w:type="dxa" w:w="1606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Date:</w:t>
            </w:r>
          </w:p>
        </w:tc>
        <w:tc>
          <w:tcPr>
            <w:tcW w:type="dxa" w:w="3212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</w:tbl>
    <w:p/>
    <w:p>
      <w:pPr>
        <w:spacing w:before="80"/>
        <w:jc w:val="center"/>
      </w:pPr>
      <w:r>
        <w:rPr>
          <w:rFonts w:ascii="Calibri" w:hAnsi="Calibri"/>
          <w:i/>
          <w:color w:val="4A4A4A"/>
          <w:sz w:val="16"/>
        </w:rPr>
        <w:t>Solecare Glasgow  |  Lone Worker Emergency Procedures  |  Review annually  |  Version 1.0  |  September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