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15138"/>
      </w:tblGrid>
      <w:tr>
        <w:tc>
          <w:tcPr>
            <w:tcW w:type="dxa" w:w="15138"/>
            <w:shd w:val="clear" w:color="auto" w:fill="1F5A5F"/>
            <w:tcBorders>
              <w:top w:val="none"/>
              <w:bottom w:val="none"/>
              <w:left w:val="none"/>
              <w:right w:val="none"/>
            </w:tcBorders>
            <w:tcMar>
              <w:top w:w="140" w:type="dxa"/>
              <w:bottom w:w="140" w:type="dxa"/>
              <w:left w:w="180" w:type="dxa"/>
              <w:right w:w="180" w:type="dxa"/>
            </w:tcMar>
          </w:tcPr>
          <w:p>
            <w:pPr>
              <w:spacing w:before="0" w:after="0"/>
            </w:pPr>
            <w:r>
              <w:rPr>
                <w:rFonts w:ascii="Calibri Light" w:hAnsi="Calibri Light"/>
                <w:b/>
                <w:color w:val="FFFFFF"/>
                <w:sz w:val="32"/>
              </w:rPr>
              <w:t>Solecare Glasgow — Health and Safety Risk Assessment</w:t>
            </w:r>
          </w:p>
          <w:p>
            <w:pPr>
              <w:spacing w:before="40" w:after="0"/>
            </w:pPr>
            <w:r>
              <w:rPr>
                <w:rFonts w:ascii="Calibri" w:hAnsi="Calibri"/>
                <w:i/>
                <w:color w:val="CCE5E6"/>
                <w:sz w:val="18"/>
              </w:rPr>
              <w:t>HSWA 1974  |  MHSWR 1999  |  COSHH 2002  |  Manual Handling Operations Regulations 1992  |  HSE INDG73  |  Sharps Regulations 2013</w:t>
            </w:r>
          </w:p>
        </w:tc>
      </w:tr>
    </w:tbl>
    <w:p/>
    <w:tbl>
      <w:tblPr>
        <w:tblStyle w:val="TableGrid"/>
        <w:tblW w:type="auto" w:w="0"/>
        <w:tblLook w:firstColumn="1" w:firstRow="1" w:lastColumn="0" w:lastRow="0" w:noHBand="0" w:noVBand="1" w:val="04A0"/>
      </w:tblPr>
      <w:tblGrid>
        <w:gridCol w:w="15138"/>
      </w:tblGrid>
      <w:tr>
        <w:tc>
          <w:tcPr>
            <w:tcW w:type="dxa" w:w="15138"/>
            <w:shd w:val="clear" w:color="auto" w:fill="F0F7F7"/>
            <w:tcBorders>
              <w:top w:val="single" w:sz="12" w:color="2E7D83"/>
              <w:bottom w:val="single" w:sz="12" w:color="2E7D83"/>
              <w:left w:val="single" w:sz="12" w:color="2E7D83"/>
              <w:right w:val="single" w:sz="12" w:color="2E7D83"/>
            </w:tcBorders>
            <w:tcMar>
              <w:top w:w="120" w:type="dxa"/>
              <w:bottom w:w="120" w:type="dxa"/>
              <w:left w:w="160" w:type="dxa"/>
              <w:right w:w="160" w:type="dxa"/>
            </w:tcMar>
          </w:tcPr>
          <w:p>
            <w:pPr>
              <w:keepNext/>
            </w:pPr>
            <w:r>
              <w:rPr>
                <w:rFonts w:ascii="Calibri" w:hAnsi="Calibri"/>
                <w:color w:val="1F1F1F"/>
                <w:sz w:val="18"/>
              </w:rPr>
              <w:t>Risk scoring  —  Likelihood (L): 1 = unlikely, 2 = possible, 3 = likely  |  Severity (S): 1 = minor injury/near-miss, 2 = moderate harm, 3 = serious harm or death  |  Risk rating = L × S  |  Score 1-2 = LOW (acceptable)  |  3-4 = MEDIUM (monitor, review controls)  |  6-9 = HIGH (immediate action required)</w:t>
            </w:r>
          </w:p>
        </w:tc>
      </w:tr>
    </w:tbl>
    <w:p>
      <w:pPr>
        <w:spacing w:before="0" w:after="80"/>
      </w:pPr>
    </w:p>
    <w:tbl>
      <w:tblPr>
        <w:tblStyle w:val="TableGrid"/>
        <w:tblW w:type="auto" w:w="0"/>
        <w:jc w:val="left"/>
        <w:tblLook w:firstColumn="1" w:firstRow="1" w:lastColumn="0" w:lastRow="0" w:noHBand="0" w:noVBand="1" w:val="04A0"/>
      </w:tblPr>
      <w:tblGrid>
        <w:gridCol w:w="1984"/>
        <w:gridCol w:w="2693"/>
        <w:gridCol w:w="1984"/>
        <w:gridCol w:w="2693"/>
      </w:tblGrid>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Practitioner name: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HCPC registration no.:</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Practice type:</w:t>
            </w:r>
            <w:r>
              <w:rPr>
                <w:i/>
                <w:color w:val="4A4A4A"/>
                <w:sz w:val="16"/>
              </w:rPr>
              <w:br/>
              <w:t>Mobile sole-trader, domiciliary house calls, single-use instruments only</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Assessment date: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r>
      <w:tr>
        <w:tc>
          <w:tcPr>
            <w:tcW w:type="dxa" w:w="1984"/>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Next review date:</w:t>
            </w:r>
            <w:r>
              <w:rPr>
                <w:i/>
                <w:color w:val="4A4A4A"/>
                <w:sz w:val="16"/>
              </w:rPr>
              <w:br/>
              <w:t>Annual minimum, or after any incident, near-miss, or significant change</w:t>
            </w:r>
          </w:p>
        </w:tc>
        <w:tc>
          <w:tcPr>
            <w:tcW w:type="dxa" w:w="2693"/>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r/>
          </w:p>
        </w:tc>
        <w:tc>
          <w:tcPr>
            <w:tcW w:type="dxa" w:w="1984"/>
            <w:shd w:val="clear" w:color="auto" w:fill="F0F7F7"/>
            <w:tcBorders>
              <w:top w:val="single" w:sz="4" w:color="D4E3E4"/>
              <w:bottom w:val="single" w:sz="4" w:color="D4E3E4"/>
              <w:left w:val="single" w:sz="4" w:color="D4E3E4"/>
              <w:right w:val="single" w:sz="4" w:color="D4E3E4"/>
            </w:tcBorders>
          </w:tcPr>
          <w:p/>
        </w:tc>
        <w:tc>
          <w:tcPr>
            <w:tcW w:type="dxa" w:w="2693"/>
            <w:shd w:val="clear" w:color="auto" w:fill="FFFFFF"/>
            <w:tcBorders>
              <w:top w:val="single" w:sz="4" w:color="D4E3E4"/>
              <w:bottom w:val="single" w:sz="4" w:color="D4E3E4"/>
              <w:left w:val="single" w:sz="4" w:color="D4E3E4"/>
              <w:right w:val="single" w:sz="4" w:color="D4E3E4"/>
            </w:tcBorders>
          </w:tcPr>
          <w:p/>
        </w:tc>
      </w:tr>
    </w:tbl>
    <w:p/>
    <w:p>
      <w:pPr>
        <w:keepNext/>
        <w:spacing w:before="200" w:after="0"/>
      </w:pPr>
      <w:r>
        <w:rPr>
          <w:rFonts w:ascii="Calibri Light" w:hAnsi="Calibri Light"/>
          <w:b/>
          <w:color w:val="1F5A5F"/>
          <w:sz w:val="24"/>
        </w:rPr>
        <w:t>Section A — Clinical and Domiciliary Environment Hazards</w:t>
      </w:r>
    </w:p>
    <w:p>
      <w:pPr>
        <w:keepNext/>
        <w:spacing w:before="0" w:after="120"/>
        <w:pBdr>
          <w:bottom w:val="single" w:sz="12" w:space="1" w:color="2E7D83"/>
        </w:pBdr>
      </w:pPr>
    </w:p>
    <w:tbl>
      <w:tblPr>
        <w:tblStyle w:val="TableGrid"/>
        <w:tblW w:type="auto" w:w="0"/>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Hazard</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Who at risk</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Existing controls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L</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S</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Risk</w:t>
              <w:br/>
              <w:t>(LxS)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Additional action / review</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Sharps injury — scalpel blades, needles, lancets</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Single-use instruments only. Dispose directly into UN3291-compliant yellow-lidded sharps bin at point of use — never set down first. Never resheath needles. Never pass sharps between hands. Carry portable sharps bin to every visit. Refer to written Sharps Protocol (Sharps_Protocol.docx).</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Annual review of sharps protocol. Hep B immunity confirmed on file. Post-injury BBV protocol documented.</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Blood or body fluid exposure — splash or contact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Gloves and apron worn at all times. Type IIR mask and eye protection added for nail surgery and any splash-risk procedure. Carry spill kit to every visit (absorbent granules, 10,000 ppm hypochlorite wipes, face shield, heavy gloves, clinical waste bag). Post-exposure protocol: wash immediately, encourage bleeding, cover, seek BBV advice within 1 hour.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BBV immunisation on file. Incident_Log.xlsx completed for each event.</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Cross-infection between patients</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Patient, 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Standard Infection Control Precautions (SICPs) applied at every visit per NHS NIPCM v2.10. Single-use sterile instruments from licensed medical device supplier. Disposable paper drape clean field before each treatment. PPE changed between patients. Pre-visit screening call for any reported household illness.</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Annual IPC policy review and re-signature. IPC CPD logged annually.</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Infection risk — nail surgery in domestic setting</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Patient, 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0.5% chlorhexidine in 70% isopropyl alcohol (ChloraPrep or equivalent) applied to surgical site per NICE NG125. Minimum 30 seconds air-dry before incision — do not blot. Sterile drape applied. Adequate lighting confirmed before proceeding. Do not perform nail surgery in environments where a sterile field cannot be maintained.</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7C2820"/>
                <w:sz w:val="16"/>
              </w:rPr>
              <w:t>6</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Document pre-surgery environment assessment for each home surgery episode. Check PI insurer covers domiciliary nail surgery.</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Unstable or unsafe working posture — patient seating</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Portable folding stool and adjustable footrest carried to every visit. Practitioner never treats from the floor. If suitable seating cannot be established, reschedule and note in patient record.</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Annual MSK self-assessment. Ergonomics reviewed at each new patient address.</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Manual handling — transporting equipment to and from vehicle</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Total kit weight target: under 15 kg. Rucksack used for even two-shoulder load distribution. Heavy items (sharps waste box, folding stool) carried separately and not combined with clinical bag. Practitioner does not carry kit and climb stairs simultaneously.</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Weigh kit quarterly. Reassess if new items added.</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Trip or slip hazards in patient's home (rugs, cables, pets, clutter, wet floors)</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Dynamic risk assessment conducted on arrival at every home visit before entering treatment area. Request clear pathway from door to treatment area at booking. Move portable trip hazards (mats, cables) before beginning treatment. Wet floor — ask patient to dry before proceeding.</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Flagged-premises register maintained for repeat-visit hazards.</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Poor or insufficient lighting in patient's home</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 Patient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Portable LED examination light (rechargeable) carried to all visits. Do not perform nail surgery if lighting is inadequate and cannot be supplemented.</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Check battery charge before each working day.</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Aggressive, threatening, or unexpected behaviour — patient or household member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Pre-visit telephone screening call for all new patients. Lone worker check-in system active — emergency contact has schedule and knows escalation steps. Flagged patients register updated after any concerning behaviour. Exit strategy: practitioner seats self nearest door, keeps kit bag between self and patient.</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Conflict de-escalation training (Suzy Lamplugh Trust or equivalent). Annual review of flagged register.</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Aggressive or uncontrolled pets</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Ask at booking: 'Do you have pets?' Request all pets are secured before practitioner enters. If pets cannot be secured on arrival, reschedule appointment. Add to flagged premises register.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Flagged premises register updated at each visit.</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 medical emergency with no colleague present</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Lone worker check-in system operational every working day. Emergency contact has current-day movement log including all patient addresses, appointment times, and escalation steps. Mobile phone fully charged and accessible throughout each visit.</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Test escalation procedure annually. Update emergency contact if circumstances change.</w:t>
            </w:r>
          </w:p>
        </w:tc>
      </w:tr>
    </w:tbl>
    <w:p/>
    <w:p>
      <w:pPr>
        <w:keepNext/>
        <w:spacing w:before="200" w:after="0"/>
      </w:pPr>
      <w:r>
        <w:rPr>
          <w:rFonts w:ascii="Calibri Light" w:hAnsi="Calibri Light"/>
          <w:b/>
          <w:color w:val="1F5A5F"/>
          <w:sz w:val="24"/>
        </w:rPr>
        <w:t>Section B — Vehicle, Medicines, and Clinical Waste Transport Hazards</w:t>
      </w:r>
    </w:p>
    <w:p>
      <w:pPr>
        <w:keepNext/>
        <w:spacing w:before="0" w:after="120"/>
        <w:pBdr>
          <w:bottom w:val="single" w:sz="12" w:space="1" w:color="2E7D83"/>
        </w:pBdr>
      </w:pPr>
    </w:p>
    <w:tbl>
      <w:tblPr>
        <w:tblStyle w:val="TableGrid"/>
        <w:tblW w:type="auto" w:w="0"/>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Hazard</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Who at risk</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Existing controls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L</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S</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Risk</w:t>
              <w:br/>
              <w:t>(LxS)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Additional action / review</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Clinical waste unsecured or unsealed in vehicle</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Public, 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All sealed sharps bins and clinical waste bags carried inside a rigid, lockable, leak-proof outer transport box in vehicle boot. Loose bags directly in boot are prohibited under ADR and EA duty of care. Transport box locked when vehicle is unattended.</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Check transport box integrity before each journey. ADR 1.3 training certificate held on file.</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Local anaesthetic temperature excursion above 25°C (SmPC limit)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Patient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Local anaesthetics transported in a validated insulated medicines bag at all times during vehicle journeys. Bag is never left in an unshaded vehicle in warm weather. Temperature log maintained in Medicines_Log.xlsx. Any product exposed to &gt;25°C for extended periods is not used.</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Insulated bag efficacy re-assessed each spring/summer. Any temperature excursion logged and pharmacist consulted.</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Road traffic collision while transporting clinical waste</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Public, 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Lower Tier Environment Agency waste carrier registration held (wastecarriersregistration.service.gov.uk). ADR 1.3 general awareness training completed and certificated. 2 kg dry powder fire extinguisher carried in vehicle whenever clinical waste is transported. Car insurance confirmed as Class 3 business use with clinical waste transport declared.</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Annual insurance renewal with clinical waste transport re-declared. Fire extinguisher serviced annually.</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Cross-contamination of clean supplies by used/contaminated items</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Patient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Strict clean/dirty segregation in vehicle: dedicated lidded box for clean sterile supplies; separate sealed container for used/contaminated items. Containers labelled clearly. Never mixed.</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1B5E20"/>
                <w:sz w:val="16"/>
              </w:rPr>
              <w:t>2</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Segregation system checked before each working day.</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Theft or loss of medicines from unattended vehicle</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Public</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Medicines are not left in an unattended vehicle. Lockable insulated bag transferred to practitioner's person or secured premises when vehicle is left. Local anaesthetics are not controlled drugs but are Prescription Only Medicines — access must be controlled.</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1B5E20"/>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Check vehicle is locked and medicines removed at each stop.</w:t>
            </w:r>
          </w:p>
        </w:tc>
      </w:tr>
    </w:tbl>
    <w:p/>
    <w:p>
      <w:pPr>
        <w:keepNext/>
        <w:spacing w:before="200" w:after="0"/>
      </w:pPr>
      <w:r>
        <w:rPr>
          <w:rFonts w:ascii="Calibri Light" w:hAnsi="Calibri Light"/>
          <w:b/>
          <w:color w:val="1F5A5F"/>
          <w:sz w:val="24"/>
        </w:rPr>
        <w:t>Section C — Lone Worker and Personal Safety Hazards  (HSE INDG73)</w:t>
      </w:r>
    </w:p>
    <w:p>
      <w:pPr>
        <w:keepNext/>
        <w:spacing w:before="0" w:after="120"/>
        <w:pBdr>
          <w:bottom w:val="single" w:sz="12" w:space="1" w:color="2E7D83"/>
        </w:pBdr>
      </w:pPr>
    </w:p>
    <w:tbl>
      <w:tblPr>
        <w:tblStyle w:val="TableGrid"/>
        <w:tblW w:type="auto" w:w="0"/>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Hazard</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Who at risk</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Existing controls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L</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S</w:t>
              <w:br/>
              <w:t>(1-3)</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Risk</w:t>
              <w:br/>
              <w:t>(LxS)</w:t>
            </w:r>
          </w:p>
        </w:tc>
        <w:tc>
          <w:tcPr>
            <w:tcW w:type="dxa" w:w="2163"/>
            <w:shd w:val="clear" w:color="auto" w:fill="2E7D83"/>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FFFFFF"/>
                <w:sz w:val="16"/>
              </w:rPr>
              <w:t>Additional action / review</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No colleague awareness of practitioner location throughout the working day</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Daily movement log (Daily_Movement_Log.xlsx) completed and shared with named emergency contact before first visit each day. Includes all patient names/addresses, appointment times, and expected finish times. Check-in message sent after each patient. End-of-day 'home safe' confirmation sent.</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Emergency contact briefed on escalation steps (Lone_Worker_Emergency.docx). Test procedure annually.</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Emergency contact unavailable or fails to respond to missed check-in</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Primary emergency contact identified. Secondary emergency contact (alternative named person) identified as fallback. Escalation steps define time intervals for each action, ending in 999 call if location unconfirmed.</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Review and update emergency contact details annually or if circumstances change.</w:t>
            </w:r>
          </w:p>
        </w:tc>
      </w:tr>
      <w:tr>
        <w:trPr>
          <w:trHeight w:val="360" w:hRule="atLeast"/>
        </w:trPr>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Working in unfamiliar areas, isolated addresses, or after dark</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Route pre-planned using Google Maps before departure. Appointments in unfamiliar or isolated areas scheduled during daylight hours only. Vehicle parked in visible, well-lit location. Practitioner ID visible.</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2</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4</w:t>
            </w:r>
          </w:p>
        </w:tc>
        <w:tc>
          <w:tcPr>
            <w:tcW w:type="dxa" w:w="2163"/>
            <w:shd w:val="clear" w:color="auto" w:fill="F0F7F7"/>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Review visit scheduling policy annually.</w:t>
            </w:r>
          </w:p>
        </w:tc>
      </w:tr>
      <w:tr>
        <w:trPr>
          <w:trHeight w:val="360" w:hRule="atLeast"/>
        </w:trPr>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Lone working without medical support if practitioner becomes ill</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Practitioner</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Lone worker app (Lookout Call or MyTeamSafe) active throughout each working day — provides automated escalation if check-in is missed. GP contact details on person. Medical emergency: call 999 if able, or trigger lone worker app alert.</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1</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color w:val="1F1F1F"/>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pPr>
              <w:jc w:val="center"/>
            </w:pPr>
            <w:r>
              <w:rPr>
                <w:rFonts w:ascii="Calibri" w:hAnsi="Calibri"/>
                <w:b/>
                <w:color w:val="B85C00"/>
                <w:sz w:val="16"/>
              </w:rPr>
              <w:t>3</w:t>
            </w:r>
          </w:p>
        </w:tc>
        <w:tc>
          <w:tcPr>
            <w:tcW w:type="dxa" w:w="2163"/>
            <w:shd w:val="clear" w:color="auto" w:fill="FFFFFF"/>
            <w:tcBorders>
              <w:top w:val="single" w:sz="4" w:color="D4E3E4"/>
              <w:bottom w:val="single" w:sz="4" w:color="D4E3E4"/>
              <w:left w:val="single" w:sz="4" w:color="D4E3E4"/>
              <w:right w:val="single" w:sz="4" w:color="D4E3E4"/>
            </w:tcBorders>
            <w:tcMar>
              <w:top w:w="60" w:type="dxa"/>
              <w:bottom w:w="60" w:type="dxa"/>
              <w:left w:w="80" w:type="dxa"/>
              <w:right w:w="80" w:type="dxa"/>
            </w:tcMar>
          </w:tcPr>
          <w:p>
            <w:r>
              <w:rPr>
                <w:rFonts w:ascii="Calibri" w:hAnsi="Calibri"/>
                <w:color w:val="1F1F1F"/>
                <w:sz w:val="16"/>
              </w:rPr>
              <w:t>App subscription active and tested monthly.</w:t>
            </w:r>
          </w:p>
        </w:tc>
      </w:tr>
    </w:tbl>
    <w:p/>
    <w:p>
      <w:pPr>
        <w:keepNext/>
        <w:spacing w:before="200" w:after="0"/>
      </w:pPr>
      <w:r>
        <w:rPr>
          <w:rFonts w:ascii="Calibri Light" w:hAnsi="Calibri Light"/>
          <w:b/>
          <w:color w:val="1F5A5F"/>
          <w:sz w:val="24"/>
        </w:rPr>
        <w:t>COSHH — Hazardous Substances Register  (COSHH Regulations 2002)</w:t>
      </w:r>
    </w:p>
    <w:p>
      <w:pPr>
        <w:keepNext/>
        <w:spacing w:before="0" w:after="120"/>
        <w:pBdr>
          <w:bottom w:val="single" w:sz="12" w:space="1" w:color="2E7D83"/>
        </w:pBdr>
      </w:pPr>
    </w:p>
    <w:p>
      <w:pPr>
        <w:spacing w:before="0" w:after="80"/>
      </w:pPr>
      <w:r>
        <w:rPr>
          <w:rFonts w:ascii="Calibri" w:hAnsi="Calibri"/>
          <w:i w:val="0"/>
          <w:color w:val="1F1F1F"/>
          <w:sz w:val="20"/>
        </w:rPr>
        <w:t>A COSHH assessment is required for each hazardous substance used in this practice. Obtain the Safety Data Sheet (SDS) from the manufacturer for each substance and assess: hazard, exposure route, control measures, PPE, and emergency action. Use COSHHmate.co.uk (~£50/year) to auto-populate assessments from SDS data. Assessments are filed separately and reviewed annually.</w:t>
      </w:r>
    </w:p>
    <w:tbl>
      <w:tblPr>
        <w:tblStyle w:val="TableGrid"/>
        <w:tblW w:type="auto" w:w="0"/>
        <w:tblLook w:firstColumn="1" w:firstRow="1" w:lastColumn="0" w:lastRow="0" w:noHBand="0" w:noVBand="1" w:val="04A0"/>
      </w:tblPr>
      <w:tblGrid>
        <w:gridCol w:w="3118"/>
        <w:gridCol w:w="2268"/>
        <w:gridCol w:w="3118"/>
        <w:gridCol w:w="6633"/>
      </w:tblGrid>
      <w:tr>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Substance</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Used for</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Hazard summary</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Controls and PPE</w:t>
            </w:r>
          </w:p>
        </w:tc>
      </w:tr>
      <w:tr>
        <w:trPr>
          <w:trHeight w:val="40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0.5% chlorhexidine gluconate in 70% isopropyl alcohol</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Nail surgery skin prep</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Flammable; eye/skin irritant</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Allow full air-dry before incision. Gloves. No ignition sources near application site.</w:t>
            </w:r>
          </w:p>
        </w:tc>
      </w:tr>
      <w:tr>
        <w:trPr>
          <w:trHeight w:val="40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Sodium hypochlorite solution (10,000 ppm)</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Blood spill disinfection on hard surfaces</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Corrosive; harmful vapour; reacts with urine and acids</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Gloves, apron, face shield. Do not use on soft furnishings or urine spills. Ventilate area.</w:t>
            </w:r>
          </w:p>
        </w:tc>
      </w:tr>
      <w:tr>
        <w:trPr>
          <w:trHeight w:val="40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Sodium hypochlorite solution (1,000 ppm) or detergent</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Spill management on soft furnishings / urine spills</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Low irritant at this concentration</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Gloves. Do not mix with higher concentration hypochlorite.</w:t>
            </w:r>
          </w:p>
        </w:tc>
      </w:tr>
      <w:tr>
        <w:trPr>
          <w:trHeight w:val="40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Surface disinfectant wipes (e.g. Clinell Universal)</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General surface decontamination</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Skin/eye irritant</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Gloves. Allow contact time per manufacturer. Dispose as clinical waste.</w:t>
            </w:r>
          </w:p>
        </w:tc>
      </w:tr>
      <w:tr>
        <w:trPr>
          <w:trHeight w:val="40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Alcohol-based hand rub (≥60% ethanol)</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Hand hygiene</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Flammable; drying to skin</w:t>
            </w: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Store away from heat sources. Allow full evaporation before any open flame. Moisturise regularly.</w:t>
            </w:r>
          </w:p>
        </w:tc>
      </w:tr>
      <w:tr>
        <w:trPr>
          <w:trHeight w:val="40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Lidocaine HCl injection (e.g. 1% or 2% solution)</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Local anaesthesia for nail surgery</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Systemic toxicity risk if overdosed or intravascular</w:t>
            </w: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color w:val="1F1F1F"/>
                <w:sz w:val="16"/>
              </w:rPr>
              <w:t>Check max dose per body weight. Aspirate before injection. Do not exceed single-procedure limits. Sharps disposal immediately post-use.</w:t>
            </w:r>
          </w:p>
        </w:tc>
      </w:tr>
    </w:tbl>
    <w:p/>
    <w:p>
      <w:pPr>
        <w:spacing w:before="0" w:after="80"/>
      </w:pPr>
      <w:r>
        <w:rPr>
          <w:rFonts w:ascii="Calibri" w:hAnsi="Calibri"/>
          <w:i/>
          <w:color w:val="4A4A4A"/>
          <w:sz w:val="18"/>
        </w:rPr>
        <w:t>SDS documents held on file for each substance above. COSHH assessments filed separately at [location]. Review annually or when product changes.</w:t>
      </w:r>
    </w:p>
    <w:p>
      <w:pPr>
        <w:keepNext/>
        <w:spacing w:before="200" w:after="0"/>
      </w:pPr>
      <w:r>
        <w:rPr>
          <w:rFonts w:ascii="Calibri Light" w:hAnsi="Calibri Light"/>
          <w:b/>
          <w:color w:val="1F5A5F"/>
          <w:sz w:val="24"/>
        </w:rPr>
        <w:t>Signature and Review Log</w:t>
      </w:r>
    </w:p>
    <w:p>
      <w:pPr>
        <w:keepNext/>
        <w:spacing w:before="0" w:after="120"/>
        <w:pBdr>
          <w:bottom w:val="single" w:sz="12" w:space="1" w:color="2E7D83"/>
        </w:pBdr>
      </w:pPr>
    </w:p>
    <w:p>
      <w:pPr>
        <w:spacing w:before="0" w:after="80"/>
      </w:pPr>
      <w:r>
        <w:rPr>
          <w:rFonts w:ascii="Calibri" w:hAnsi="Calibri"/>
          <w:i w:val="0"/>
          <w:color w:val="1F1F1F"/>
          <w:sz w:val="20"/>
        </w:rPr>
        <w:t>Review triggers: annually as a minimum; after any RIDDOR-reportable event, near-miss, or significant incident; after any change to working environment, patient group, or practice scope.</w:t>
      </w:r>
    </w:p>
    <w:tbl>
      <w:tblPr>
        <w:tblStyle w:val="TableGrid"/>
        <w:tblW w:type="auto" w:w="0"/>
        <w:tblLook w:firstColumn="1" w:firstRow="1" w:lastColumn="0" w:lastRow="0" w:noHBand="0" w:noVBand="1" w:val="04A0"/>
      </w:tblPr>
      <w:tblGrid>
        <w:gridCol w:w="5046"/>
        <w:gridCol w:w="5046"/>
        <w:gridCol w:w="5046"/>
      </w:tblGrid>
      <w:tr>
        <w:tc>
          <w:tcPr>
            <w:tcW w:type="dxa" w:w="15138"/>
            <w:gridSpan w:val="3"/>
            <w:shd w:val="clear" w:color="auto" w:fill="2E7D83"/>
            <w:tcBorders>
              <w:top w:val="single" w:sz="4" w:color="2E7D83"/>
              <w:bottom w:val="single" w:sz="4" w:color="2E7D83"/>
              <w:left w:val="single" w:sz="4" w:color="2E7D83"/>
              <w:right w:val="single" w:sz="4" w:color="2E7D83"/>
            </w:tcBorders>
            <w:tcMar>
              <w:top w:w="80" w:type="dxa"/>
              <w:bottom w:w="80" w:type="dxa"/>
              <w:left w:w="108" w:type="dxa"/>
              <w:right w:w="108" w:type="dxa"/>
            </w:tcMar>
          </w:tcPr>
          <w:p>
            <w:r>
              <w:rPr>
                <w:rFonts w:ascii="Calibri" w:hAnsi="Calibri"/>
                <w:b/>
                <w:color w:val="FFFFFF"/>
                <w:sz w:val="18"/>
              </w:rPr>
              <w:t>Practitioner — initial assessment signature and date</w:t>
            </w:r>
          </w:p>
        </w:tc>
      </w:tr>
      <w:tr>
        <w:trPr>
          <w:trHeight w:val="560" w:hRule="atLeast"/>
        </w:trPr>
        <w:tc>
          <w:tcPr>
            <w:tcW w:type="dxa" w:w="504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Full name:</w:t>
            </w:r>
          </w:p>
        </w:tc>
        <w:tc>
          <w:tcPr>
            <w:tcW w:type="dxa" w:w="1009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504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Signature:</w:t>
            </w:r>
          </w:p>
        </w:tc>
        <w:tc>
          <w:tcPr>
            <w:tcW w:type="dxa" w:w="1009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r>
        <w:trPr>
          <w:trHeight w:val="560" w:hRule="atLeast"/>
        </w:trPr>
        <w:tc>
          <w:tcPr>
            <w:tcW w:type="dxa" w:w="5046"/>
            <w:shd w:val="clear" w:color="auto" w:fill="F0F7F7"/>
            <w:tcBorders>
              <w:top w:val="single" w:sz="4" w:color="D4E3E4"/>
              <w:bottom w:val="single" w:sz="4" w:color="D4E3E4"/>
              <w:left w:val="single" w:sz="4" w:color="D4E3E4"/>
              <w:right w:val="single" w:sz="4" w:color="D4E3E4"/>
            </w:tcBorders>
            <w:tcMar>
              <w:top w:w="80" w:type="dxa"/>
              <w:bottom w:w="80" w:type="dxa"/>
              <w:left w:w="108" w:type="dxa"/>
              <w:right w:w="108" w:type="dxa"/>
            </w:tcMar>
          </w:tcPr>
          <w:p>
            <w:r>
              <w:rPr>
                <w:rFonts w:ascii="Calibri" w:hAnsi="Calibri"/>
                <w:b/>
                <w:color w:val="1F5A5F"/>
                <w:sz w:val="18"/>
              </w:rPr>
              <w:t>Date:</w:t>
            </w:r>
          </w:p>
        </w:tc>
        <w:tc>
          <w:tcPr>
            <w:tcW w:type="dxa" w:w="10092"/>
            <w:shd w:val="clear" w:color="auto" w:fill="FFFFFF"/>
            <w:gridSpan w:val="2"/>
            <w:tcBorders>
              <w:top w:val="single" w:sz="4" w:color="D4E3E4"/>
              <w:bottom w:val="single" w:sz="4" w:color="D4E3E4"/>
              <w:left w:val="single" w:sz="4" w:color="D4E3E4"/>
              <w:right w:val="single" w:sz="4" w:color="D4E3E4"/>
            </w:tcBorders>
            <w:shd w:val="clear" w:color="auto" w:fill="FFFFFF"/>
            <w:tcBorders>
              <w:top w:val="single" w:sz="4" w:color="D4E3E4"/>
              <w:bottom w:val="single" w:sz="4" w:color="D4E3E4"/>
              <w:left w:val="single" w:sz="4" w:color="D4E3E4"/>
              <w:right w:val="single" w:sz="4" w:color="D4E3E4"/>
            </w:tcBorders>
            <w:tcMar>
              <w:top w:w="80" w:type="dxa"/>
              <w:bottom w:w="80" w:type="dxa"/>
              <w:left w:w="108" w:type="dxa"/>
              <w:right w:w="108" w:type="dxa"/>
            </w:tcMar>
          </w:tcPr>
          <w:p/>
        </w:tc>
      </w:tr>
    </w:tbl>
    <w:p/>
    <w:tbl>
      <w:tblPr>
        <w:tblStyle w:val="TableGrid"/>
        <w:tblW w:type="auto" w:w="0"/>
        <w:tblLook w:firstColumn="1" w:firstRow="1" w:lastColumn="0" w:lastRow="0" w:noHBand="0" w:noVBand="1" w:val="04A0"/>
      </w:tblPr>
      <w:tblGrid>
        <w:gridCol w:w="1417"/>
        <w:gridCol w:w="2551"/>
        <w:gridCol w:w="9071"/>
        <w:gridCol w:w="2098"/>
      </w:tblGrid>
      <w:tr>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Review date</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Trigger for review</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Changes made to assessment</w:t>
            </w:r>
          </w:p>
        </w:tc>
        <w:tc>
          <w:tcPr>
            <w:tcW w:type="dxa" w:w="3784"/>
            <w:shd w:val="clear" w:color="auto" w:fill="2E7D83"/>
            <w:tcBorders>
              <w:top w:val="single" w:sz="4" w:color="D4E3E4"/>
              <w:bottom w:val="single" w:sz="4" w:color="D4E3E4"/>
              <w:left w:val="single" w:sz="4" w:color="D4E3E4"/>
              <w:right w:val="single" w:sz="4" w:color="D4E3E4"/>
            </w:tcBorders>
            <w:tcMar>
              <w:top w:w="60" w:type="dxa"/>
              <w:bottom w:w="60" w:type="dxa"/>
              <w:left w:w="100" w:type="dxa"/>
              <w:right w:w="100" w:type="dxa"/>
            </w:tcMar>
          </w:tcPr>
          <w:p>
            <w:r>
              <w:rPr>
                <w:rFonts w:ascii="Calibri" w:hAnsi="Calibri"/>
                <w:b/>
                <w:color w:val="FFFFFF"/>
                <w:sz w:val="18"/>
              </w:rPr>
              <w:t>Signature</w:t>
            </w:r>
          </w:p>
        </w:tc>
      </w:tr>
      <w:tr>
        <w:trPr>
          <w:trHeight w:val="44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r>
        <w:trPr>
          <w:trHeight w:val="44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r>
        <w:trPr>
          <w:trHeight w:val="44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r>
        <w:trPr>
          <w:trHeight w:val="44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r>
        <w:trPr>
          <w:trHeight w:val="440" w:hRule="atLeast"/>
        </w:trPr>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0F7F7"/>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r>
        <w:trPr>
          <w:trHeight w:val="440" w:hRule="atLeast"/>
        </w:trPr>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c>
          <w:tcPr>
            <w:tcW w:type="dxa" w:w="3784"/>
            <w:shd w:val="clear" w:color="auto" w:fill="FFFFFF"/>
            <w:tcBorders>
              <w:top w:val="single" w:sz="4" w:color="D4E3E4"/>
              <w:bottom w:val="single" w:sz="4" w:color="D4E3E4"/>
              <w:left w:val="single" w:sz="4" w:color="D4E3E4"/>
              <w:right w:val="single" w:sz="4" w:color="D4E3E4"/>
            </w:tcBorders>
            <w:tcMar>
              <w:top w:w="60" w:type="dxa"/>
              <w:bottom w:w="60" w:type="dxa"/>
              <w:left w:w="100" w:type="dxa"/>
              <w:right w:w="100" w:type="dxa"/>
            </w:tcMar>
          </w:tcPr>
          <w:p/>
        </w:tc>
      </w:tr>
    </w:tbl>
    <w:p>
      <w:pPr>
        <w:spacing w:before="80"/>
        <w:jc w:val="center"/>
      </w:pPr>
      <w:r>
        <w:rPr>
          <w:rFonts w:ascii="Calibri" w:hAnsi="Calibri"/>
          <w:i/>
          <w:color w:val="4A4A4A"/>
          <w:sz w:val="16"/>
        </w:rPr>
        <w:t>Solecare Glasgow  |  H&amp;S Risk Assessment  |  A4 Landscape  |  Review annually or after any incident  |  Version 1.0  |  September 2026</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