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5A5F"/>
            <w:tcBorders>
              <w:top w:val="none"/>
              <w:bottom w:val="none"/>
              <w:left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 Light" w:hAnsi="Calibri Light"/>
                <w:b/>
                <w:color w:val="FFFFFF"/>
                <w:sz w:val="32"/>
              </w:rPr>
              <w:t>Solecare Glasgow — Sharps Protocol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E5E6"/>
                <w:sz w:val="18"/>
              </w:rPr>
              <w:t>Health and Safety (Sharp Instruments in Healthcare) Regulations 2013  |  Environmental Protection Act 1990</w:t>
            </w:r>
          </w:p>
        </w:tc>
      </w:tr>
    </w:tbl>
    <w:p/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Principles</w:t>
      </w:r>
    </w:p>
    <w:p>
      <w:pPr>
        <w:keepNext/>
        <w:spacing w:before="0" w:after="120"/>
        <w:pBdr>
          <w:bottom w:val="single" w:sz="12" w:space="1" w:color="2E7D83"/>
        </w:pBdr>
      </w:pPr>
    </w:p>
    <w:p>
      <w:pPr>
        <w:spacing w:before="0" w:after="80"/>
      </w:pPr>
      <w:r>
        <w:rPr>
          <w:rFonts w:ascii="Calibri" w:hAnsi="Calibri"/>
          <w:i w:val="0"/>
          <w:color w:val="1F1F1F"/>
          <w:sz w:val="20"/>
        </w:rPr>
        <w:t>All sharps used in this practice (scalpel blades, needles, lancets) are single-use only. No resheathing of needles. No passing sharps between hands. Dispose at the point of use, immediately.</w:t>
      </w:r>
    </w:p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Container assembly and management</w:t>
      </w:r>
    </w:p>
    <w:p>
      <w:pPr>
        <w:keepNext/>
        <w:spacing w:before="0" w:after="120"/>
        <w:pBdr>
          <w:bottom w:val="single" w:sz="12" w:space="1" w:color="2E7D83"/>
        </w:pBdr>
      </w:pPr>
    </w:p>
    <w:p>
      <w:pPr>
        <w:pStyle w:val="ListBullet"/>
        <w:spacing w:before="40" w:after="40"/>
      </w:pPr>
      <w:r>
        <w:rPr>
          <w:rFonts w:ascii="Calibri" w:hAnsi="Calibri"/>
          <w:color w:val="1F1F1F"/>
          <w:sz w:val="20"/>
        </w:rPr>
        <w:t>Assemble a new sharps container at the start of each working period. Record in the Sharps Container Log (IPC_Visit_Log.xlsx).</w:t>
      </w:r>
    </w:p>
    <w:p>
      <w:pPr>
        <w:pStyle w:val="ListBullet"/>
        <w:spacing w:before="40" w:after="40"/>
      </w:pPr>
      <w:r>
        <w:rPr>
          <w:rFonts w:ascii="Calibri" w:hAnsi="Calibri"/>
          <w:color w:val="1F1F1F"/>
          <w:sz w:val="20"/>
        </w:rPr>
        <w:t>Check the fill level before each visit. Seal the container when it reaches the three-quarter full mark — never overfill.</w:t>
      </w:r>
    </w:p>
    <w:p>
      <w:pPr>
        <w:pStyle w:val="ListBullet"/>
        <w:spacing w:before="40" w:after="40"/>
      </w:pPr>
      <w:r>
        <w:rPr>
          <w:rFonts w:ascii="Calibri" w:hAnsi="Calibri"/>
          <w:color w:val="1F1F1F"/>
          <w:sz w:val="20"/>
        </w:rPr>
        <w:t>The container must be UN3291-approved and BS 7320 compliant (yellow lid, rigid sides).</w:t>
      </w:r>
    </w:p>
    <w:p>
      <w:pPr>
        <w:pStyle w:val="ListBullet"/>
        <w:spacing w:before="40" w:after="40"/>
      </w:pPr>
      <w:r>
        <w:rPr>
          <w:rFonts w:ascii="Calibri" w:hAnsi="Calibri"/>
          <w:color w:val="1F1F1F"/>
          <w:sz w:val="20"/>
        </w:rPr>
        <w:t>Seal, label, and date the container when three-quarters full. Record date and container ref in the log.</w:t>
      </w:r>
    </w:p>
    <w:p>
      <w:pPr>
        <w:pStyle w:val="ListBullet"/>
        <w:spacing w:before="40" w:after="40"/>
      </w:pPr>
      <w:r>
        <w:rPr>
          <w:rFonts w:ascii="Calibri" w:hAnsi="Calibri"/>
          <w:color w:val="1F1F1F"/>
          <w:sz w:val="20"/>
        </w:rPr>
        <w:t>Transport sealed containers inside a rigid, lockable outer transport box in the vehicle. Never transport loose bags. Never transport open or overfilled containers.</w:t>
      </w:r>
    </w:p>
    <w:p>
      <w:pPr>
        <w:pStyle w:val="ListBullet"/>
        <w:spacing w:before="40" w:after="40"/>
      </w:pPr>
      <w:r>
        <w:rPr>
          <w:rFonts w:ascii="Calibri" w:hAnsi="Calibri"/>
          <w:color w:val="1F1F1F"/>
          <w:sz w:val="20"/>
        </w:rPr>
        <w:t>Store sealed containers at the base address in a secure, labelled location separate from household waste until carrier collection.</w:t>
      </w:r>
    </w:p>
    <w:p>
      <w:pPr>
        <w:pStyle w:val="ListBullet"/>
        <w:spacing w:before="40" w:after="40"/>
      </w:pPr>
      <w:r>
        <w:rPr>
          <w:rFonts w:ascii="Calibri" w:hAnsi="Calibri"/>
          <w:color w:val="1F1F1F"/>
          <w:sz w:val="20"/>
        </w:rPr>
        <w:t>Arrange carrier collection promptly. Issue a Hazardous Waste Consignment Note. Retain the signed copy for 3 years.</w:t>
      </w:r>
    </w:p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Sharps injury response — IMMEDIATE ACTION</w:t>
      </w:r>
    </w:p>
    <w:p>
      <w:pPr>
        <w:keepNext/>
        <w:spacing w:before="0" w:after="120"/>
        <w:pBdr>
          <w:bottom w:val="single" w:sz="12" w:space="1" w:color="2E7D8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  <w:tcBorders>
              <w:top w:val="single" w:sz="12" w:color="2E7D83"/>
              <w:bottom w:val="single" w:sz="12" w:color="2E7D83"/>
              <w:left w:val="single" w:sz="12" w:color="2E7D83"/>
              <w:right w:val="single" w:sz="12" w:color="2E7D83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keepNext/>
            </w:pPr>
            <w:r>
              <w:rPr>
                <w:rFonts w:ascii="Calibri" w:hAnsi="Calibri"/>
                <w:color w:val="7C2820"/>
                <w:sz w:val="18"/>
              </w:rPr>
              <w:t>1. STOP the procedure immediately.</w:t>
              <w:br/>
              <w:t>2. Remove gloves carefully.</w:t>
              <w:br/>
              <w:t>3. Wash the wound under running water for at least 2 minutes. Do not suck the wound.</w:t>
              <w:br/>
              <w:t>4. Encourage gentle bleeding if the wound is puncture-type — do not squeeze.</w:t>
              <w:br/>
              <w:t>5. Cover with a waterproof plaster.</w:t>
              <w:br/>
              <w:t>6. Document immediately in Incident_Log.xlsx and the Sharps Injury Detail sheet.</w:t>
              <w:br/>
              <w:t>7. Call the patient's GP or A&amp;E within 1 hour for BBV (blood-borne virus) risk assessment and advice on PEP if indicated.</w:t>
              <w:br/>
              <w:t>8. Notify your professional indemnity insurer if the patient's blood-borne virus status is unknown.</w:t>
              <w:br/>
              <w:t>9. Review risk assessment and update sharps handling procedure if the injury reveals a hazard.</w:t>
            </w:r>
          </w:p>
        </w:tc>
      </w:tr>
    </w:tbl>
    <w:p>
      <w:pPr>
        <w:spacing w:before="0" w:after="80"/>
      </w:pPr>
    </w:p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Sharps injury record — complete immediately</w:t>
      </w:r>
    </w:p>
    <w:p>
      <w:pPr>
        <w:keepNext/>
        <w:spacing w:before="0" w:after="120"/>
        <w:pBdr>
          <w:bottom w:val="single" w:sz="12" w:space="1" w:color="2E7D83"/>
        </w:pBdr>
      </w:pPr>
    </w:p>
    <w:p>
      <w:pPr>
        <w:spacing w:before="0" w:after="80"/>
      </w:pPr>
      <w:r>
        <w:rPr>
          <w:rFonts w:ascii="Calibri" w:hAnsi="Calibri"/>
          <w:i/>
          <w:color w:val="4A4A4A"/>
          <w:sz w:val="18"/>
        </w:rPr>
        <w:t>Also complete the full Sharps Injury Detail sheet in Incident_Log.xlsx.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2693"/>
        <w:gridCol w:w="1984"/>
        <w:gridCol w:w="2693"/>
      </w:tblGrid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 and time: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Device type and procedure: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Visible blood contamination?</w:t>
            </w:r>
            <w:r>
              <w:rPr>
                <w:i/>
                <w:color w:val="4A4A4A"/>
                <w:sz w:val="16"/>
              </w:rPr>
              <w:br/>
              <w:t>Y / N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Patient reference: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9354"/>
            <w:gridSpan w:val="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Immediate action taken:</w:t>
            </w:r>
          </w:p>
        </w:tc>
      </w:tr>
      <w:tr>
        <w:trPr>
          <w:trHeight w:val="480" w:hRule="atLeast"/>
        </w:trPr>
        <w:tc>
          <w:tcPr>
            <w:tcW w:type="dxa" w:w="9354"/>
            <w:gridSpan w:val="4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100" w:type="dxa"/>
              <w:bottom w:w="10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Medical advice sought (time/provider):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BBV risk assessment outcome: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Follow-up required?</w:t>
            </w:r>
            <w:r>
              <w:rPr>
                <w:i/>
                <w:color w:val="4A4A4A"/>
                <w:sz w:val="16"/>
              </w:rPr>
              <w:br/>
              <w:t>Y / N / Dates: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</w:tcPr>
          <w:p/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2E7D83"/>
            <w:tcBorders>
              <w:top w:val="single" w:sz="4" w:color="2E7D83"/>
              <w:bottom w:val="single" w:sz="4" w:color="2E7D83"/>
              <w:left w:val="single" w:sz="4" w:color="2E7D83"/>
              <w:right w:val="single" w:sz="4" w:color="2E7D83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Practitioner signature and date</w:t>
            </w:r>
          </w:p>
        </w:tc>
      </w:tr>
      <w:tr>
        <w:trPr>
          <w:trHeight w:val="56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Full name:</w:t>
            </w:r>
          </w:p>
        </w:tc>
        <w:tc>
          <w:tcPr>
            <w:tcW w:type="dxa" w:w="6426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Signature:</w:t>
            </w:r>
          </w:p>
        </w:tc>
        <w:tc>
          <w:tcPr>
            <w:tcW w:type="dxa" w:w="6426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Date:</w:t>
            </w:r>
          </w:p>
        </w:tc>
        <w:tc>
          <w:tcPr>
            <w:tcW w:type="dxa" w:w="6426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</w:tbl>
    <w:p/>
    <w:p>
      <w:pPr>
        <w:spacing w:before="80"/>
        <w:jc w:val="center"/>
      </w:pPr>
      <w:r>
        <w:rPr>
          <w:rFonts w:ascii="Calibri" w:hAnsi="Calibri"/>
          <w:i/>
          <w:color w:val="4A4A4A"/>
          <w:sz w:val="16"/>
        </w:rPr>
        <w:t>Solecare Glasgow  |  Sharps Protocol  |  Review annually  |  Version 1.0  |  September 2026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