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458947">
      <w:pPr>
        <w:rPr>
          <w:rFonts w:hint="default" w:ascii="Times New Roman" w:hAnsi="Times New Roman" w:eastAsia="宋体" w:cs="Arial"/>
          <w:b/>
          <w:bCs w:val="0"/>
          <w:color w:val="231F20"/>
          <w:kern w:val="0"/>
          <w:sz w:val="32"/>
          <w:szCs w:val="32"/>
        </w:rPr>
      </w:pPr>
      <w:r>
        <w:rPr>
          <w:rFonts w:hint="eastAsia" w:ascii="Segoe UI" w:hAnsi="Segoe UI" w:eastAsia="宋体" w:cs="Segoe UI"/>
          <w:i w:val="0"/>
          <w:iCs w:val="0"/>
          <w:caps w:val="0"/>
          <w:color w:val="2A2B2E"/>
          <w:spacing w:val="0"/>
          <w:sz w:val="24"/>
          <w:szCs w:val="24"/>
          <w:shd w:val="clear" w:fill="FFFFFF"/>
          <w:lang w:val="en-US" w:eastAsia="zh-CN"/>
        </w:rPr>
        <w:t>4.1运用神经网络学习突变蛋白的局部结构功能关系</w:t>
      </w:r>
    </w:p>
    <w:p w14:paraId="2C4689F1">
      <w:pPr>
        <w:ind w:firstLine="420" w:firstLineChars="0"/>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rPr>
        <w:t>EVmutation</w:t>
      </w:r>
      <w:r>
        <w:rPr>
          <w:rFonts w:hint="eastAsia" w:ascii="宋体" w:hAnsi="宋体" w:eastAsia="宋体" w:cs="宋体"/>
          <w:i w:val="0"/>
          <w:iCs w:val="0"/>
          <w:caps w:val="0"/>
          <w:color w:val="262626"/>
          <w:spacing w:val="0"/>
          <w:sz w:val="21"/>
          <w:szCs w:val="21"/>
          <w:shd w:val="clear" w:fill="FFFFFF"/>
          <w:vertAlign w:val="superscript"/>
          <w:lang w:eastAsia="zh-CN"/>
        </w:rPr>
        <w:fldChar w:fldCharType="begin"/>
      </w:r>
      <w:r>
        <w:rPr>
          <w:rFonts w:hint="eastAsia" w:ascii="宋体" w:hAnsi="宋体" w:eastAsia="宋体" w:cs="宋体"/>
          <w:i w:val="0"/>
          <w:iCs w:val="0"/>
          <w:caps w:val="0"/>
          <w:color w:val="262626"/>
          <w:spacing w:val="0"/>
          <w:sz w:val="21"/>
          <w:szCs w:val="21"/>
          <w:shd w:val="clear" w:fill="FFFFFF"/>
          <w:vertAlign w:val="superscript"/>
          <w:lang w:eastAsia="zh-CN"/>
        </w:rPr>
        <w:instrText xml:space="preserve"> REF _Ref26993 \r \h </w:instrText>
      </w:r>
      <w:r>
        <w:rPr>
          <w:rFonts w:hint="eastAsia" w:ascii="宋体" w:hAnsi="宋体" w:eastAsia="宋体" w:cs="宋体"/>
          <w:i w:val="0"/>
          <w:iCs w:val="0"/>
          <w:caps w:val="0"/>
          <w:color w:val="262626"/>
          <w:spacing w:val="0"/>
          <w:sz w:val="21"/>
          <w:szCs w:val="21"/>
          <w:shd w:val="clear" w:fill="FFFFFF"/>
          <w:vertAlign w:val="superscript"/>
          <w:lang w:eastAsia="zh-CN"/>
        </w:rPr>
        <w:fldChar w:fldCharType="separate"/>
      </w:r>
      <w:r>
        <w:rPr>
          <w:rFonts w:hint="eastAsia" w:ascii="宋体" w:hAnsi="宋体" w:eastAsia="宋体" w:cs="宋体"/>
          <w:i w:val="0"/>
          <w:iCs w:val="0"/>
          <w:caps w:val="0"/>
          <w:color w:val="262626"/>
          <w:spacing w:val="0"/>
          <w:sz w:val="21"/>
          <w:szCs w:val="21"/>
          <w:shd w:val="clear" w:fill="FFFFFF"/>
          <w:vertAlign w:val="superscript"/>
          <w:lang w:eastAsia="zh-CN"/>
        </w:rPr>
        <w:t>[1]</w:t>
      </w:r>
      <w:r>
        <w:rPr>
          <w:rFonts w:hint="eastAsia" w:ascii="宋体" w:hAnsi="宋体" w:eastAsia="宋体" w:cs="宋体"/>
          <w:i w:val="0"/>
          <w:iCs w:val="0"/>
          <w:caps w:val="0"/>
          <w:color w:val="262626"/>
          <w:spacing w:val="0"/>
          <w:sz w:val="21"/>
          <w:szCs w:val="21"/>
          <w:shd w:val="clear" w:fill="FFFFFF"/>
          <w:vertAlign w:val="superscript"/>
          <w:lang w:eastAsia="zh-CN"/>
        </w:rPr>
        <w:fldChar w:fldCharType="end"/>
      </w:r>
      <w:r>
        <w:rPr>
          <w:rFonts w:hint="eastAsia" w:ascii="宋体" w:hAnsi="宋体" w:eastAsia="宋体" w:cs="宋体"/>
          <w:i w:val="0"/>
          <w:iCs w:val="0"/>
          <w:caps w:val="0"/>
          <w:color w:val="262626"/>
          <w:spacing w:val="0"/>
          <w:sz w:val="21"/>
          <w:szCs w:val="21"/>
          <w:shd w:val="clear" w:fill="FFFFFF"/>
        </w:rPr>
        <w:t>和 DeepSequence</w:t>
      </w:r>
      <w:r>
        <w:rPr>
          <w:rFonts w:hint="eastAsia" w:ascii="宋体" w:hAnsi="宋体" w:eastAsia="宋体" w:cs="宋体"/>
          <w:i w:val="0"/>
          <w:iCs w:val="0"/>
          <w:caps w:val="0"/>
          <w:color w:val="262626"/>
          <w:spacing w:val="0"/>
          <w:sz w:val="21"/>
          <w:szCs w:val="21"/>
          <w:shd w:val="clear" w:fill="FFFFFF"/>
          <w:vertAlign w:val="superscript"/>
          <w:lang w:eastAsia="zh-CN"/>
        </w:rPr>
        <w:fldChar w:fldCharType="begin"/>
      </w:r>
      <w:r>
        <w:rPr>
          <w:rFonts w:hint="eastAsia" w:ascii="宋体" w:hAnsi="宋体" w:eastAsia="宋体" w:cs="宋体"/>
          <w:i w:val="0"/>
          <w:iCs w:val="0"/>
          <w:caps w:val="0"/>
          <w:color w:val="262626"/>
          <w:spacing w:val="0"/>
          <w:sz w:val="21"/>
          <w:szCs w:val="21"/>
          <w:shd w:val="clear" w:fill="FFFFFF"/>
          <w:vertAlign w:val="superscript"/>
          <w:lang w:eastAsia="zh-CN"/>
        </w:rPr>
        <w:instrText xml:space="preserve"> REF _Ref27418 \r \h </w:instrText>
      </w:r>
      <w:r>
        <w:rPr>
          <w:rFonts w:hint="eastAsia" w:ascii="宋体" w:hAnsi="宋体" w:eastAsia="宋体" w:cs="宋体"/>
          <w:i w:val="0"/>
          <w:iCs w:val="0"/>
          <w:caps w:val="0"/>
          <w:color w:val="262626"/>
          <w:spacing w:val="0"/>
          <w:sz w:val="21"/>
          <w:szCs w:val="21"/>
          <w:shd w:val="clear" w:fill="FFFFFF"/>
          <w:vertAlign w:val="superscript"/>
          <w:lang w:eastAsia="zh-CN"/>
        </w:rPr>
        <w:fldChar w:fldCharType="separate"/>
      </w:r>
      <w:r>
        <w:rPr>
          <w:rFonts w:hint="eastAsia" w:ascii="宋体" w:hAnsi="宋体" w:eastAsia="宋体" w:cs="宋体"/>
          <w:i w:val="0"/>
          <w:iCs w:val="0"/>
          <w:caps w:val="0"/>
          <w:color w:val="262626"/>
          <w:spacing w:val="0"/>
          <w:sz w:val="21"/>
          <w:szCs w:val="21"/>
          <w:shd w:val="clear" w:fill="FFFFFF"/>
          <w:vertAlign w:val="superscript"/>
          <w:lang w:eastAsia="zh-CN"/>
        </w:rPr>
        <w:t>[2]</w:t>
      </w:r>
      <w:r>
        <w:rPr>
          <w:rFonts w:hint="eastAsia" w:ascii="宋体" w:hAnsi="宋体" w:eastAsia="宋体" w:cs="宋体"/>
          <w:i w:val="0"/>
          <w:iCs w:val="0"/>
          <w:caps w:val="0"/>
          <w:color w:val="262626"/>
          <w:spacing w:val="0"/>
          <w:sz w:val="21"/>
          <w:szCs w:val="21"/>
          <w:shd w:val="clear" w:fill="FFFFFF"/>
          <w:vertAlign w:val="superscript"/>
          <w:lang w:eastAsia="zh-CN"/>
        </w:rPr>
        <w:fldChar w:fldCharType="end"/>
      </w:r>
      <w:r>
        <w:rPr>
          <w:rFonts w:hint="eastAsia" w:ascii="宋体" w:hAnsi="宋体" w:eastAsia="宋体" w:cs="宋体"/>
          <w:i w:val="0"/>
          <w:iCs w:val="0"/>
          <w:caps w:val="0"/>
          <w:color w:val="262626"/>
          <w:spacing w:val="0"/>
          <w:sz w:val="21"/>
          <w:szCs w:val="21"/>
          <w:shd w:val="clear" w:fill="FFFFFF"/>
        </w:rPr>
        <w:t>等无监督学习方法在进化相关蛋白质序列的大比对上进行训练。这些方法可以模拟蛋白质家族的天然功能，但它们无法预测不受长期进化选择约束的特定蛋白质特性。</w:t>
      </w:r>
      <w:r>
        <w:rPr>
          <w:rFonts w:hint="eastAsia" w:ascii="宋体" w:hAnsi="宋体" w:eastAsia="宋体" w:cs="宋体"/>
          <w:i w:val="0"/>
          <w:iCs w:val="0"/>
          <w:caps w:val="0"/>
          <w:color w:val="262626"/>
          <w:spacing w:val="0"/>
          <w:sz w:val="21"/>
          <w:szCs w:val="21"/>
          <w:shd w:val="clear" w:fill="FFFFFF"/>
          <w:lang w:val="en-US" w:eastAsia="zh-CN"/>
        </w:rPr>
        <w:t>AlphaFold基本实现将蛋白质序列放置在正确的能量最小值中</w:t>
      </w:r>
      <w:r>
        <w:rPr>
          <w:rFonts w:hint="eastAsia" w:ascii="宋体" w:hAnsi="宋体" w:eastAsia="宋体" w:cs="宋体"/>
          <w:i w:val="0"/>
          <w:iCs w:val="0"/>
          <w:caps w:val="0"/>
          <w:color w:val="262626"/>
          <w:spacing w:val="0"/>
          <w:sz w:val="21"/>
          <w:szCs w:val="21"/>
          <w:shd w:val="clear" w:fill="FFFFFF"/>
          <w:vertAlign w:val="superscript"/>
          <w:lang w:val="en-US" w:eastAsia="zh-CN"/>
        </w:rPr>
        <w:fldChar w:fldCharType="begin"/>
      </w:r>
      <w:r>
        <w:rPr>
          <w:rFonts w:hint="eastAsia" w:ascii="宋体" w:hAnsi="宋体" w:eastAsia="宋体" w:cs="宋体"/>
          <w:i w:val="0"/>
          <w:iCs w:val="0"/>
          <w:caps w:val="0"/>
          <w:color w:val="262626"/>
          <w:spacing w:val="0"/>
          <w:sz w:val="21"/>
          <w:szCs w:val="21"/>
          <w:shd w:val="clear" w:fill="FFFFFF"/>
          <w:vertAlign w:val="superscript"/>
          <w:lang w:val="en-US" w:eastAsia="zh-CN"/>
        </w:rPr>
        <w:instrText xml:space="preserve"> REF _Ref28195 \r \h </w:instrText>
      </w:r>
      <w:r>
        <w:rPr>
          <w:rFonts w:hint="eastAsia" w:ascii="宋体" w:hAnsi="宋体" w:eastAsia="宋体" w:cs="宋体"/>
          <w:i w:val="0"/>
          <w:iCs w:val="0"/>
          <w:caps w:val="0"/>
          <w:color w:val="262626"/>
          <w:spacing w:val="0"/>
          <w:sz w:val="21"/>
          <w:szCs w:val="21"/>
          <w:shd w:val="clear" w:fill="FFFFFF"/>
          <w:vertAlign w:val="superscript"/>
          <w:lang w:val="en-US" w:eastAsia="zh-CN"/>
        </w:rPr>
        <w:fldChar w:fldCharType="separate"/>
      </w:r>
      <w:r>
        <w:rPr>
          <w:rFonts w:hint="eastAsia" w:ascii="宋体" w:hAnsi="宋体" w:eastAsia="宋体" w:cs="宋体"/>
          <w:i w:val="0"/>
          <w:iCs w:val="0"/>
          <w:caps w:val="0"/>
          <w:color w:val="262626"/>
          <w:spacing w:val="0"/>
          <w:sz w:val="21"/>
          <w:szCs w:val="21"/>
          <w:shd w:val="clear" w:fill="FFFFFF"/>
          <w:vertAlign w:val="superscript"/>
          <w:lang w:val="en-US" w:eastAsia="zh-CN"/>
        </w:rPr>
        <w:t>[3]</w:t>
      </w:r>
      <w:r>
        <w:rPr>
          <w:rFonts w:hint="eastAsia" w:ascii="宋体" w:hAnsi="宋体" w:eastAsia="宋体" w:cs="宋体"/>
          <w:i w:val="0"/>
          <w:iCs w:val="0"/>
          <w:caps w:val="0"/>
          <w:color w:val="262626"/>
          <w:spacing w:val="0"/>
          <w:sz w:val="21"/>
          <w:szCs w:val="21"/>
          <w:shd w:val="clear" w:fill="FFFFFF"/>
          <w:vertAlign w:val="superscript"/>
          <w:lang w:val="en-US" w:eastAsia="zh-CN"/>
        </w:rPr>
        <w:fldChar w:fldCharType="end"/>
      </w:r>
      <w:r>
        <w:rPr>
          <w:rFonts w:hint="eastAsia" w:ascii="宋体" w:hAnsi="宋体" w:eastAsia="宋体" w:cs="宋体"/>
          <w:i w:val="0"/>
          <w:iCs w:val="0"/>
          <w:caps w:val="0"/>
          <w:color w:val="262626"/>
          <w:spacing w:val="0"/>
          <w:sz w:val="21"/>
          <w:szCs w:val="21"/>
          <w:shd w:val="clear" w:fill="FFFFFF"/>
          <w:lang w:val="en-US" w:eastAsia="zh-CN"/>
        </w:rPr>
        <w:t>，但缺乏将深度学习应用到相反的问题：结构如何限制给定位点允许的蛋白质。这将限制有害突变的采样，加速靶向诱变和蛋白质工程工作。</w:t>
      </w:r>
    </w:p>
    <w:p w14:paraId="7C4769AC">
      <w:pPr>
        <w:ind w:firstLine="420" w:firstLineChars="0"/>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为了解决以上问题，Sam Gelman团队新提出了一个有监督的深度学习框架，训练有监督的神经网络学习序列到功能的映射函数。</w:t>
      </w:r>
      <w:r>
        <w:rPr>
          <w:rFonts w:hint="eastAsia" w:ascii="宋体" w:hAnsi="宋体" w:eastAsia="宋体" w:cs="宋体"/>
          <w:i w:val="0"/>
          <w:iCs w:val="0"/>
          <w:caps w:val="0"/>
          <w:color w:val="000000"/>
          <w:spacing w:val="0"/>
          <w:sz w:val="21"/>
          <w:szCs w:val="21"/>
          <w:u w:val="none"/>
          <w:shd w:val="clear" w:fill="FFFFFF"/>
        </w:rPr>
        <w:fldChar w:fldCharType="begin"/>
      </w:r>
      <w:r>
        <w:rPr>
          <w:rFonts w:hint="eastAsia" w:ascii="宋体" w:hAnsi="宋体" w:eastAsia="宋体" w:cs="宋体"/>
          <w:i w:val="0"/>
          <w:iCs w:val="0"/>
          <w:caps w:val="0"/>
          <w:color w:val="000000"/>
          <w:spacing w:val="0"/>
          <w:sz w:val="21"/>
          <w:szCs w:val="21"/>
          <w:u w:val="none"/>
          <w:shd w:val="clear" w:fill="FFFFFF"/>
        </w:rPr>
        <w:instrText xml:space="preserve"> HYPERLINK "https://link.springer.com/article/10.1007/s10867-021-09593-6" \l "auth-Anastasiya_V_-Kulikova-Aff1" </w:instrText>
      </w:r>
      <w:r>
        <w:rPr>
          <w:rFonts w:hint="eastAsia" w:ascii="宋体" w:hAnsi="宋体" w:eastAsia="宋体" w:cs="宋体"/>
          <w:i w:val="0"/>
          <w:iCs w:val="0"/>
          <w:caps w:val="0"/>
          <w:color w:val="000000"/>
          <w:spacing w:val="0"/>
          <w:sz w:val="21"/>
          <w:szCs w:val="21"/>
          <w:u w:val="none"/>
          <w:shd w:val="clear" w:fill="FFFFFF"/>
        </w:rPr>
        <w:fldChar w:fldCharType="separate"/>
      </w:r>
      <w:r>
        <w:rPr>
          <w:rStyle w:val="9"/>
          <w:rFonts w:hint="eastAsia" w:ascii="宋体" w:hAnsi="宋体" w:eastAsia="宋体" w:cs="宋体"/>
          <w:i w:val="0"/>
          <w:iCs w:val="0"/>
          <w:caps w:val="0"/>
          <w:color w:val="000000"/>
          <w:spacing w:val="0"/>
          <w:sz w:val="21"/>
          <w:szCs w:val="21"/>
          <w:u w:val="none"/>
          <w:shd w:val="clear" w:fill="FFFFFF"/>
        </w:rPr>
        <w:t>Anastasiya V. Kulikova</w:t>
      </w:r>
      <w:r>
        <w:rPr>
          <w:rFonts w:hint="eastAsia" w:ascii="宋体" w:hAnsi="宋体" w:eastAsia="宋体" w:cs="宋体"/>
          <w:i w:val="0"/>
          <w:iCs w:val="0"/>
          <w:caps w:val="0"/>
          <w:color w:val="000000"/>
          <w:spacing w:val="0"/>
          <w:sz w:val="21"/>
          <w:szCs w:val="21"/>
          <w:u w:val="none"/>
          <w:shd w:val="clear" w:fill="FFFFFF"/>
        </w:rPr>
        <w:fldChar w:fldCharType="end"/>
      </w:r>
      <w:r>
        <w:rPr>
          <w:rFonts w:hint="eastAsia" w:ascii="宋体" w:hAnsi="宋体" w:eastAsia="宋体" w:cs="宋体"/>
          <w:i w:val="0"/>
          <w:iCs w:val="0"/>
          <w:caps w:val="0"/>
          <w:color w:val="000000"/>
          <w:spacing w:val="0"/>
          <w:sz w:val="21"/>
          <w:szCs w:val="21"/>
          <w:shd w:val="clear" w:fill="FFFFFF"/>
          <w:lang w:val="en-US" w:eastAsia="zh-CN"/>
        </w:rPr>
        <w:t>团队</w:t>
      </w:r>
      <w:r>
        <w:rPr>
          <w:rFonts w:hint="eastAsia" w:ascii="宋体" w:hAnsi="宋体" w:eastAsia="宋体" w:cs="宋体"/>
          <w:i w:val="0"/>
          <w:iCs w:val="0"/>
          <w:caps w:val="0"/>
          <w:color w:val="262626"/>
          <w:spacing w:val="0"/>
          <w:sz w:val="21"/>
          <w:szCs w:val="21"/>
          <w:shd w:val="clear" w:fill="FFFFFF"/>
          <w:lang w:val="en-US" w:eastAsia="zh-CN"/>
        </w:rPr>
        <w:t>使用3DCNN对此进行研究，研究了从局部化学环境（微环境）预测隐蔽残基的CNN模型能否良好预测野生型残基和进化上分化的同源物中的残基，并关注那些高准确率预测的氨基酸分布。</w:t>
      </w:r>
    </w:p>
    <w:p w14:paraId="1B949459">
      <w:pPr>
        <w:ind w:firstLine="420" w:firstLineChars="0"/>
        <w:rPr>
          <w:rFonts w:hint="eastAsia" w:ascii="宋体" w:hAnsi="宋体" w:eastAsia="宋体" w:cs="宋体"/>
          <w:i w:val="0"/>
          <w:iCs w:val="0"/>
          <w:caps w:val="0"/>
          <w:color w:val="262626"/>
          <w:spacing w:val="0"/>
          <w:sz w:val="21"/>
          <w:szCs w:val="21"/>
          <w:shd w:val="clear" w:fill="FFFFFF"/>
          <w:lang w:val="en-US" w:eastAsia="zh-CN"/>
        </w:rPr>
      </w:pPr>
    </w:p>
    <w:p w14:paraId="51405BD8">
      <w:pPr>
        <w:rPr>
          <w:rFonts w:hint="default"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4.1.1关于蛋白质的特征工程及模型训练</w:t>
      </w:r>
    </w:p>
    <w:p w14:paraId="7253B92D">
      <w:pPr>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在Sam Gelman等人的研究中，他们对蛋白质序列进行编码，编码信息包含了每个氨基酸在每个位置的物理和化学性质。分别采用One hot编码用于标记特定位置的氨基酸，以及AAindex编码捕获氨基酸的物理性质和化学性质，并采用PCA将特征向量降到19维，最后将两个编码连接。团队共测试了线性回归和全连接、数列卷积、图卷积三种神经网络。卷积神经网络中，卷积层可以学习识别β链中常见的极性和非极性氨基酸，使网络能评估整个输入序列的β链倾向，并将这些信息与蛋白质功能关联。</w:t>
      </w:r>
    </w:p>
    <w:p w14:paraId="3869BBB1">
      <w:pPr>
        <w:ind w:firstLine="420" w:firstLineChars="0"/>
        <w:rPr>
          <w:rFonts w:hint="eastAsia" w:ascii="宋体" w:hAnsi="宋体" w:eastAsia="宋体" w:cs="宋体"/>
          <w:i w:val="0"/>
          <w:iCs w:val="0"/>
          <w:caps w:val="0"/>
          <w:color w:val="262626"/>
          <w:spacing w:val="0"/>
          <w:sz w:val="21"/>
          <w:szCs w:val="21"/>
          <w:shd w:val="clear" w:fill="FFFFFF"/>
          <w:lang w:val="en-US" w:eastAsia="zh-CN"/>
        </w:rPr>
      </w:pPr>
    </w:p>
    <w:p w14:paraId="62EFDAE1">
      <w:pPr>
        <w:ind w:firstLine="420" w:firstLineChars="0"/>
        <w:rPr>
          <w:rFonts w:hint="default"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而在</w:t>
      </w:r>
      <w:r>
        <w:rPr>
          <w:rFonts w:hint="eastAsia" w:ascii="宋体" w:hAnsi="宋体" w:eastAsia="宋体" w:cs="宋体"/>
          <w:i w:val="0"/>
          <w:iCs w:val="0"/>
          <w:caps w:val="0"/>
          <w:color w:val="000000"/>
          <w:spacing w:val="0"/>
          <w:sz w:val="21"/>
          <w:szCs w:val="21"/>
          <w:u w:val="none"/>
          <w:shd w:val="clear" w:fill="FFFFFF"/>
        </w:rPr>
        <w:fldChar w:fldCharType="begin"/>
      </w:r>
      <w:r>
        <w:rPr>
          <w:rFonts w:hint="eastAsia" w:ascii="宋体" w:hAnsi="宋体" w:eastAsia="宋体" w:cs="宋体"/>
          <w:i w:val="0"/>
          <w:iCs w:val="0"/>
          <w:caps w:val="0"/>
          <w:color w:val="000000"/>
          <w:spacing w:val="0"/>
          <w:sz w:val="21"/>
          <w:szCs w:val="21"/>
          <w:u w:val="none"/>
          <w:shd w:val="clear" w:fill="FFFFFF"/>
        </w:rPr>
        <w:instrText xml:space="preserve"> HYPERLINK "https://link.springer.com/article/10.1007/s10867-021-09593-6" \l "auth-Anastasiya_V_-Kulikova-Aff1" </w:instrText>
      </w:r>
      <w:r>
        <w:rPr>
          <w:rFonts w:hint="eastAsia" w:ascii="宋体" w:hAnsi="宋体" w:eastAsia="宋体" w:cs="宋体"/>
          <w:i w:val="0"/>
          <w:iCs w:val="0"/>
          <w:caps w:val="0"/>
          <w:color w:val="000000"/>
          <w:spacing w:val="0"/>
          <w:sz w:val="21"/>
          <w:szCs w:val="21"/>
          <w:u w:val="none"/>
          <w:shd w:val="clear" w:fill="FFFFFF"/>
        </w:rPr>
        <w:fldChar w:fldCharType="separate"/>
      </w:r>
      <w:r>
        <w:rPr>
          <w:rStyle w:val="9"/>
          <w:rFonts w:hint="eastAsia" w:ascii="宋体" w:hAnsi="宋体" w:eastAsia="宋体" w:cs="宋体"/>
          <w:i w:val="0"/>
          <w:iCs w:val="0"/>
          <w:caps w:val="0"/>
          <w:color w:val="000000"/>
          <w:spacing w:val="0"/>
          <w:sz w:val="21"/>
          <w:szCs w:val="21"/>
          <w:u w:val="none"/>
          <w:shd w:val="clear" w:fill="FFFFFF"/>
        </w:rPr>
        <w:t>Anastasiya V. Kulikova</w:t>
      </w:r>
      <w:r>
        <w:rPr>
          <w:rFonts w:hint="eastAsia" w:ascii="宋体" w:hAnsi="宋体" w:eastAsia="宋体" w:cs="宋体"/>
          <w:i w:val="0"/>
          <w:iCs w:val="0"/>
          <w:caps w:val="0"/>
          <w:color w:val="000000"/>
          <w:spacing w:val="0"/>
          <w:sz w:val="21"/>
          <w:szCs w:val="21"/>
          <w:u w:val="none"/>
          <w:shd w:val="clear" w:fill="FFFFFF"/>
        </w:rPr>
        <w:fldChar w:fldCharType="end"/>
      </w:r>
      <w:r>
        <w:rPr>
          <w:rFonts w:hint="eastAsia" w:ascii="宋体" w:hAnsi="宋体" w:eastAsia="宋体" w:cs="宋体"/>
          <w:i w:val="0"/>
          <w:iCs w:val="0"/>
          <w:caps w:val="0"/>
          <w:color w:val="000000"/>
          <w:spacing w:val="0"/>
          <w:sz w:val="21"/>
          <w:szCs w:val="21"/>
          <w:u w:val="none"/>
          <w:shd w:val="clear" w:fill="FFFFFF"/>
          <w:lang w:val="en-US" w:eastAsia="zh-CN"/>
        </w:rPr>
        <w:t>的</w:t>
      </w:r>
      <w:r>
        <w:rPr>
          <w:rFonts w:hint="eastAsia" w:ascii="宋体" w:hAnsi="宋体" w:eastAsia="宋体" w:cs="宋体"/>
          <w:i w:val="0"/>
          <w:iCs w:val="0"/>
          <w:caps w:val="0"/>
          <w:color w:val="000000"/>
          <w:spacing w:val="0"/>
          <w:sz w:val="21"/>
          <w:szCs w:val="21"/>
          <w:shd w:val="clear" w:fill="FFFFFF"/>
          <w:lang w:val="en-US" w:eastAsia="zh-CN"/>
        </w:rPr>
        <w:t>团队中，他们建立了一个蛋白质的三维模型。具体来说，我们</w:t>
      </w:r>
      <w:r>
        <w:rPr>
          <w:rFonts w:hint="eastAsia" w:ascii="宋体" w:hAnsi="宋体" w:eastAsia="宋体" w:cs="宋体"/>
          <w:i w:val="0"/>
          <w:iCs w:val="0"/>
          <w:caps w:val="0"/>
          <w:color w:val="262626"/>
          <w:spacing w:val="0"/>
          <w:sz w:val="21"/>
          <w:szCs w:val="21"/>
          <w:shd w:val="clear" w:fill="FFFFFF"/>
          <w:lang w:val="en-US" w:eastAsia="zh-CN"/>
        </w:rPr>
        <w:t>在蛋白质数据集中随机取样残基，以创建一个反映每种氨基酸自然丰度的微环境数据集。对每个蛋白质链，我们最多选取50个残基，并且选取的残基数不超过总数的50%</w:t>
      </w:r>
      <w:r>
        <w:rPr>
          <w:rFonts w:hint="eastAsia" w:ascii="宋体" w:hAnsi="宋体" w:eastAsia="宋体" w:cs="宋体"/>
          <w:i w:val="0"/>
          <w:iCs w:val="0"/>
          <w:caps w:val="0"/>
          <w:color w:val="262626"/>
          <w:spacing w:val="0"/>
          <w:sz w:val="21"/>
          <w:szCs w:val="21"/>
          <w:shd w:val="clear" w:fill="FFFFFF"/>
          <w:vertAlign w:val="superscript"/>
          <w:lang w:val="en-US" w:eastAsia="zh-CN"/>
        </w:rPr>
        <w:fldChar w:fldCharType="begin"/>
      </w:r>
      <w:r>
        <w:rPr>
          <w:rFonts w:hint="eastAsia" w:ascii="宋体" w:hAnsi="宋体" w:eastAsia="宋体" w:cs="宋体"/>
          <w:i w:val="0"/>
          <w:iCs w:val="0"/>
          <w:caps w:val="0"/>
          <w:color w:val="262626"/>
          <w:spacing w:val="0"/>
          <w:sz w:val="21"/>
          <w:szCs w:val="21"/>
          <w:shd w:val="clear" w:fill="FFFFFF"/>
          <w:vertAlign w:val="superscript"/>
          <w:lang w:val="en-US" w:eastAsia="zh-CN"/>
        </w:rPr>
        <w:instrText xml:space="preserve"> REF _Ref31248 \r \h </w:instrText>
      </w:r>
      <w:r>
        <w:rPr>
          <w:rFonts w:hint="eastAsia" w:ascii="宋体" w:hAnsi="宋体" w:eastAsia="宋体" w:cs="宋体"/>
          <w:i w:val="0"/>
          <w:iCs w:val="0"/>
          <w:caps w:val="0"/>
          <w:color w:val="262626"/>
          <w:spacing w:val="0"/>
          <w:sz w:val="21"/>
          <w:szCs w:val="21"/>
          <w:shd w:val="clear" w:fill="FFFFFF"/>
          <w:vertAlign w:val="superscript"/>
          <w:lang w:val="en-US" w:eastAsia="zh-CN"/>
        </w:rPr>
        <w:fldChar w:fldCharType="separate"/>
      </w:r>
      <w:r>
        <w:rPr>
          <w:rFonts w:hint="eastAsia" w:ascii="宋体" w:hAnsi="宋体" w:eastAsia="宋体" w:cs="宋体"/>
          <w:i w:val="0"/>
          <w:iCs w:val="0"/>
          <w:caps w:val="0"/>
          <w:color w:val="262626"/>
          <w:spacing w:val="0"/>
          <w:sz w:val="21"/>
          <w:szCs w:val="21"/>
          <w:shd w:val="clear" w:fill="FFFFFF"/>
          <w:vertAlign w:val="superscript"/>
          <w:lang w:val="en-US" w:eastAsia="zh-CN"/>
        </w:rPr>
        <w:t>[4]</w:t>
      </w:r>
      <w:r>
        <w:rPr>
          <w:rFonts w:hint="eastAsia" w:ascii="宋体" w:hAnsi="宋体" w:eastAsia="宋体" w:cs="宋体"/>
          <w:i w:val="0"/>
          <w:iCs w:val="0"/>
          <w:caps w:val="0"/>
          <w:color w:val="262626"/>
          <w:spacing w:val="0"/>
          <w:sz w:val="21"/>
          <w:szCs w:val="21"/>
          <w:shd w:val="clear" w:fill="FFFFFF"/>
          <w:vertAlign w:val="superscript"/>
          <w:lang w:val="en-US" w:eastAsia="zh-CN"/>
        </w:rPr>
        <w:fldChar w:fldCharType="end"/>
      </w:r>
      <w:r>
        <w:rPr>
          <w:rFonts w:hint="eastAsia" w:ascii="宋体" w:hAnsi="宋体" w:eastAsia="宋体" w:cs="宋体"/>
          <w:i w:val="0"/>
          <w:iCs w:val="0"/>
          <w:caps w:val="0"/>
          <w:color w:val="262626"/>
          <w:spacing w:val="0"/>
          <w:sz w:val="21"/>
          <w:szCs w:val="21"/>
          <w:shd w:val="clear" w:fill="FFFFFF"/>
          <w:lang w:val="en-US" w:eastAsia="zh-CN"/>
        </w:rPr>
        <w:t>，以免模型偏向那些分子量大的蛋白质。</w:t>
      </w:r>
      <w:r>
        <w:rPr>
          <w:rFonts w:hint="eastAsia" w:ascii="宋体" w:hAnsi="宋体" w:eastAsia="宋体" w:cs="宋体"/>
          <w:i w:val="0"/>
          <w:iCs w:val="0"/>
          <w:caps w:val="0"/>
          <w:color w:val="222222"/>
          <w:spacing w:val="0"/>
          <w:sz w:val="21"/>
          <w:szCs w:val="21"/>
          <w:shd w:val="clear" w:fill="FFFFFF"/>
        </w:rPr>
        <w:t>利用这些元数据，我们生成了微环境的体素化表示（4D 张量），该表示以</w:t>
      </w:r>
      <w:r>
        <w:rPr>
          <w:rFonts w:hint="eastAsia" w:ascii="宋体" w:hAnsi="宋体" w:eastAsia="宋体" w:cs="宋体"/>
          <w:b w:val="0"/>
          <w:bCs w:val="0"/>
          <w:i w:val="0"/>
          <w:iCs w:val="0"/>
          <w:caps w:val="0"/>
          <w:color w:val="222222"/>
          <w:spacing w:val="0"/>
          <w:sz w:val="21"/>
          <w:szCs w:val="21"/>
          <w:shd w:val="clear" w:fill="FFFFFF"/>
        </w:rPr>
        <w:t>α</w:t>
      </w:r>
      <w:r>
        <w:rPr>
          <w:rFonts w:hint="eastAsia" w:ascii="宋体" w:hAnsi="宋体" w:eastAsia="宋体" w:cs="宋体"/>
          <w:i w:val="0"/>
          <w:iCs w:val="0"/>
          <w:caps w:val="0"/>
          <w:color w:val="222222"/>
          <w:spacing w:val="0"/>
          <w:sz w:val="21"/>
          <w:szCs w:val="21"/>
          <w:shd w:val="clear" w:fill="FFFFFF"/>
        </w:rPr>
        <w:t>指定残基的碳为中心，并相对于主链定向，使得侧链沿</w:t>
      </w:r>
      <w:r>
        <w:rPr>
          <w:rFonts w:hint="eastAsia" w:ascii="宋体" w:hAnsi="宋体" w:eastAsia="宋体" w:cs="宋体"/>
          <w:b w:val="0"/>
          <w:bCs w:val="0"/>
          <w:i w:val="0"/>
          <w:iCs w:val="0"/>
          <w:caps w:val="0"/>
          <w:color w:val="222222"/>
          <w:spacing w:val="0"/>
          <w:sz w:val="21"/>
          <w:szCs w:val="21"/>
          <w:shd w:val="clear" w:fill="FFFFFF"/>
        </w:rPr>
        <w:t>+z</w:t>
      </w:r>
      <w:r>
        <w:rPr>
          <w:rFonts w:hint="eastAsia" w:ascii="宋体" w:hAnsi="宋体" w:eastAsia="宋体" w:cs="宋体"/>
          <w:i w:val="0"/>
          <w:iCs w:val="0"/>
          <w:caps w:val="0"/>
          <w:color w:val="222222"/>
          <w:spacing w:val="0"/>
          <w:sz w:val="21"/>
          <w:szCs w:val="21"/>
          <w:shd w:val="clear" w:fill="FFFFFF"/>
        </w:rPr>
        <w:t>轴定向。体素化表示由 3D 空间 （</w:t>
      </w:r>
      <w:r>
        <w:rPr>
          <w:rFonts w:hint="eastAsia" w:ascii="宋体" w:hAnsi="宋体" w:eastAsia="宋体" w:cs="宋体"/>
          <w:i w:val="0"/>
          <w:iCs w:val="0"/>
          <w:caps w:val="0"/>
          <w:color w:val="222222"/>
          <w:spacing w:val="0"/>
          <w:sz w:val="21"/>
          <w:szCs w:val="21"/>
          <w:shd w:val="clear" w:fill="FFFFFF"/>
          <w:lang w:val="en-US" w:eastAsia="zh-CN"/>
        </w:rPr>
        <w:t>x</w:t>
      </w:r>
      <w:r>
        <w:rPr>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lang w:val="en-US" w:eastAsia="zh-CN"/>
        </w:rPr>
        <w:t>y</w:t>
      </w:r>
      <w:r>
        <w:rPr>
          <w:rFonts w:hint="eastAsia" w:ascii="宋体" w:hAnsi="宋体" w:eastAsia="宋体" w:cs="宋体"/>
          <w:i w:val="0"/>
          <w:iCs w:val="0"/>
          <w:caps w:val="0"/>
          <w:color w:val="222222"/>
          <w:spacing w:val="0"/>
          <w:sz w:val="21"/>
          <w:szCs w:val="21"/>
          <w:shd w:val="clear" w:fill="FFFFFF"/>
        </w:rPr>
        <w:t xml:space="preserve"> 、</w:t>
      </w:r>
      <w:r>
        <w:rPr>
          <w:rFonts w:hint="eastAsia" w:ascii="宋体" w:hAnsi="宋体" w:eastAsia="宋体" w:cs="宋体"/>
          <w:i w:val="0"/>
          <w:iCs w:val="0"/>
          <w:caps w:val="0"/>
          <w:color w:val="222222"/>
          <w:spacing w:val="0"/>
          <w:sz w:val="21"/>
          <w:szCs w:val="21"/>
          <w:shd w:val="clear" w:fill="FFFFFF"/>
          <w:lang w:val="en-US" w:eastAsia="zh-CN"/>
        </w:rPr>
        <w:t>z</w:t>
      </w:r>
      <w:r>
        <w:rPr>
          <w:rFonts w:hint="eastAsia" w:ascii="宋体" w:hAnsi="宋体" w:eastAsia="宋体" w:cs="宋体"/>
          <w:i w:val="0"/>
          <w:iCs w:val="0"/>
          <w:caps w:val="0"/>
          <w:color w:val="222222"/>
          <w:spacing w:val="0"/>
          <w:sz w:val="21"/>
          <w:szCs w:val="21"/>
          <w:shd w:val="clear" w:fill="FFFFFF"/>
        </w:rPr>
        <w:t xml:space="preserve"> ） 和 7 个辅助通道组成。辅助通道编码有关体素中存在的原子性质（C、H、O、N、S）以及部分电荷和溶剂可及表面积的信息。</w:t>
      </w:r>
      <w:r>
        <w:rPr>
          <w:rFonts w:hint="eastAsia" w:ascii="宋体" w:hAnsi="宋体" w:eastAsia="宋体" w:cs="宋体"/>
          <w:i w:val="0"/>
          <w:iCs w:val="0"/>
          <w:caps w:val="0"/>
          <w:color w:val="222222"/>
          <w:spacing w:val="0"/>
          <w:sz w:val="21"/>
          <w:szCs w:val="21"/>
          <w:shd w:val="clear" w:fill="FFFFFF"/>
          <w:lang w:val="en-US" w:eastAsia="zh-CN"/>
        </w:rPr>
        <w:t>之后通过两对3D卷积层提取特征，再进入分类块，得到隐蔽残基处20个氨基酸的概率向量</w:t>
      </w:r>
    </w:p>
    <w:p w14:paraId="048FE602">
      <w:pPr>
        <w:rPr>
          <w:rFonts w:hint="eastAsia" w:ascii="宋体" w:hAnsi="宋体" w:eastAsia="宋体" w:cs="宋体"/>
          <w:i w:val="0"/>
          <w:iCs w:val="0"/>
          <w:caps w:val="0"/>
          <w:color w:val="222222"/>
          <w:spacing w:val="0"/>
          <w:sz w:val="21"/>
          <w:szCs w:val="21"/>
          <w:shd w:val="clear" w:fill="FFFFFF"/>
        </w:rPr>
      </w:pPr>
    </w:p>
    <w:p w14:paraId="05359640">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4.1.2 模型评估</w:t>
      </w:r>
    </w:p>
    <w:p w14:paraId="6E3499B4">
      <w:pPr>
        <w:ind w:firstLine="420" w:firstLineChars="0"/>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000000"/>
          <w:spacing w:val="0"/>
          <w:sz w:val="21"/>
          <w:szCs w:val="21"/>
          <w:u w:val="none"/>
          <w:shd w:val="clear" w:fill="FFFFFF"/>
        </w:rPr>
        <w:fldChar w:fldCharType="begin"/>
      </w:r>
      <w:r>
        <w:rPr>
          <w:rFonts w:hint="eastAsia" w:ascii="宋体" w:hAnsi="宋体" w:eastAsia="宋体" w:cs="宋体"/>
          <w:i w:val="0"/>
          <w:iCs w:val="0"/>
          <w:caps w:val="0"/>
          <w:color w:val="000000"/>
          <w:spacing w:val="0"/>
          <w:sz w:val="21"/>
          <w:szCs w:val="21"/>
          <w:u w:val="none"/>
          <w:shd w:val="clear" w:fill="FFFFFF"/>
        </w:rPr>
        <w:instrText xml:space="preserve"> HYPERLINK "https://link.springer.com/article/10.1007/s10867-021-09593-6" \l "auth-Anastasiya_V_-Kulikova-Aff1" </w:instrText>
      </w:r>
      <w:r>
        <w:rPr>
          <w:rFonts w:hint="eastAsia" w:ascii="宋体" w:hAnsi="宋体" w:eastAsia="宋体" w:cs="宋体"/>
          <w:i w:val="0"/>
          <w:iCs w:val="0"/>
          <w:caps w:val="0"/>
          <w:color w:val="000000"/>
          <w:spacing w:val="0"/>
          <w:sz w:val="21"/>
          <w:szCs w:val="21"/>
          <w:u w:val="none"/>
          <w:shd w:val="clear" w:fill="FFFFFF"/>
        </w:rPr>
        <w:fldChar w:fldCharType="separate"/>
      </w:r>
      <w:r>
        <w:rPr>
          <w:rStyle w:val="9"/>
          <w:rFonts w:hint="eastAsia" w:ascii="宋体" w:hAnsi="宋体" w:eastAsia="宋体" w:cs="宋体"/>
          <w:i w:val="0"/>
          <w:iCs w:val="0"/>
          <w:caps w:val="0"/>
          <w:color w:val="000000"/>
          <w:spacing w:val="0"/>
          <w:sz w:val="21"/>
          <w:szCs w:val="21"/>
          <w:u w:val="none"/>
          <w:shd w:val="clear" w:fill="FFFFFF"/>
        </w:rPr>
        <w:t>Anastasiya V. Kulikova</w:t>
      </w:r>
      <w:r>
        <w:rPr>
          <w:rFonts w:hint="eastAsia" w:ascii="宋体" w:hAnsi="宋体" w:eastAsia="宋体" w:cs="宋体"/>
          <w:i w:val="0"/>
          <w:iCs w:val="0"/>
          <w:caps w:val="0"/>
          <w:color w:val="000000"/>
          <w:spacing w:val="0"/>
          <w:sz w:val="21"/>
          <w:szCs w:val="21"/>
          <w:u w:val="none"/>
          <w:shd w:val="clear" w:fill="FFFFFF"/>
        </w:rPr>
        <w:fldChar w:fldCharType="end"/>
      </w:r>
      <w:r>
        <w:rPr>
          <w:rFonts w:hint="eastAsia" w:ascii="宋体" w:hAnsi="宋体" w:eastAsia="宋体" w:cs="宋体"/>
          <w:i w:val="0"/>
          <w:iCs w:val="0"/>
          <w:caps w:val="0"/>
          <w:color w:val="000000"/>
          <w:spacing w:val="0"/>
          <w:sz w:val="21"/>
          <w:szCs w:val="21"/>
          <w:u w:val="none"/>
          <w:shd w:val="clear" w:fill="FFFFFF"/>
          <w:lang w:val="en-US" w:eastAsia="zh-CN"/>
        </w:rPr>
        <w:t>的</w:t>
      </w:r>
      <w:r>
        <w:rPr>
          <w:rFonts w:hint="eastAsia" w:ascii="宋体" w:hAnsi="宋体" w:eastAsia="宋体" w:cs="宋体"/>
          <w:i w:val="0"/>
          <w:iCs w:val="0"/>
          <w:caps w:val="0"/>
          <w:color w:val="000000"/>
          <w:spacing w:val="0"/>
          <w:sz w:val="21"/>
          <w:szCs w:val="21"/>
          <w:shd w:val="clear" w:fill="FFFFFF"/>
          <w:lang w:val="en-US" w:eastAsia="zh-CN"/>
        </w:rPr>
        <w:t>团队</w:t>
      </w:r>
      <w:r>
        <w:rPr>
          <w:rFonts w:hint="eastAsia" w:ascii="宋体" w:hAnsi="宋体" w:eastAsia="宋体" w:cs="宋体"/>
          <w:i w:val="0"/>
          <w:iCs w:val="0"/>
          <w:caps w:val="0"/>
          <w:color w:val="262626"/>
          <w:spacing w:val="0"/>
          <w:sz w:val="21"/>
          <w:szCs w:val="21"/>
          <w:shd w:val="clear" w:fill="FFFFFF"/>
          <w:lang w:val="en-US" w:eastAsia="zh-CN"/>
        </w:rPr>
        <w:t>在包含130个结构的独立数据集PSICOV</w:t>
      </w:r>
      <w:r>
        <w:rPr>
          <w:rFonts w:hint="eastAsia" w:ascii="宋体" w:hAnsi="宋体" w:eastAsia="宋体" w:cs="宋体"/>
          <w:i w:val="0"/>
          <w:iCs w:val="0"/>
          <w:caps w:val="0"/>
          <w:color w:val="262626"/>
          <w:spacing w:val="0"/>
          <w:sz w:val="21"/>
          <w:szCs w:val="21"/>
          <w:shd w:val="clear" w:fill="FFFFFF"/>
          <w:vertAlign w:val="superscript"/>
          <w:lang w:val="en-US" w:eastAsia="zh-CN"/>
        </w:rPr>
        <w:fldChar w:fldCharType="begin"/>
      </w:r>
      <w:r>
        <w:rPr>
          <w:rFonts w:hint="eastAsia" w:ascii="宋体" w:hAnsi="宋体" w:eastAsia="宋体" w:cs="宋体"/>
          <w:i w:val="0"/>
          <w:iCs w:val="0"/>
          <w:caps w:val="0"/>
          <w:color w:val="262626"/>
          <w:spacing w:val="0"/>
          <w:sz w:val="21"/>
          <w:szCs w:val="21"/>
          <w:shd w:val="clear" w:fill="FFFFFF"/>
          <w:vertAlign w:val="superscript"/>
          <w:lang w:val="en-US" w:eastAsia="zh-CN"/>
        </w:rPr>
        <w:instrText xml:space="preserve"> REF _Ref31248 \r \h </w:instrText>
      </w:r>
      <w:r>
        <w:rPr>
          <w:rFonts w:hint="eastAsia" w:ascii="宋体" w:hAnsi="宋体" w:eastAsia="宋体" w:cs="宋体"/>
          <w:i w:val="0"/>
          <w:iCs w:val="0"/>
          <w:caps w:val="0"/>
          <w:color w:val="262626"/>
          <w:spacing w:val="0"/>
          <w:sz w:val="21"/>
          <w:szCs w:val="21"/>
          <w:shd w:val="clear" w:fill="FFFFFF"/>
          <w:vertAlign w:val="superscript"/>
          <w:lang w:val="en-US" w:eastAsia="zh-CN"/>
        </w:rPr>
        <w:fldChar w:fldCharType="separate"/>
      </w:r>
      <w:r>
        <w:rPr>
          <w:rFonts w:hint="eastAsia" w:ascii="宋体" w:hAnsi="宋体" w:eastAsia="宋体" w:cs="宋体"/>
          <w:i w:val="0"/>
          <w:iCs w:val="0"/>
          <w:caps w:val="0"/>
          <w:color w:val="262626"/>
          <w:spacing w:val="0"/>
          <w:sz w:val="21"/>
          <w:szCs w:val="21"/>
          <w:shd w:val="clear" w:fill="FFFFFF"/>
          <w:vertAlign w:val="superscript"/>
          <w:lang w:val="en-US" w:eastAsia="zh-CN"/>
        </w:rPr>
        <w:t>[4]</w:t>
      </w:r>
      <w:r>
        <w:rPr>
          <w:rFonts w:hint="eastAsia" w:ascii="宋体" w:hAnsi="宋体" w:eastAsia="宋体" w:cs="宋体"/>
          <w:i w:val="0"/>
          <w:iCs w:val="0"/>
          <w:caps w:val="0"/>
          <w:color w:val="262626"/>
          <w:spacing w:val="0"/>
          <w:sz w:val="21"/>
          <w:szCs w:val="21"/>
          <w:shd w:val="clear" w:fill="FFFFFF"/>
          <w:vertAlign w:val="superscript"/>
          <w:lang w:val="en-US" w:eastAsia="zh-CN"/>
        </w:rPr>
        <w:fldChar w:fldCharType="end"/>
      </w:r>
      <w:r>
        <w:rPr>
          <w:rFonts w:hint="eastAsia" w:ascii="宋体" w:hAnsi="宋体" w:eastAsia="宋体" w:cs="宋体"/>
          <w:i w:val="0"/>
          <w:iCs w:val="0"/>
          <w:caps w:val="0"/>
          <w:color w:val="262626"/>
          <w:spacing w:val="0"/>
          <w:sz w:val="21"/>
          <w:szCs w:val="21"/>
          <w:shd w:val="clear" w:fill="FFFFFF"/>
          <w:lang w:val="en-US" w:eastAsia="zh-CN"/>
        </w:rPr>
        <w:t>数据集上评估他们的模型,野生型序列的预测准确率通常很高，平均达到60%.将生化相似的氨基酸分组后，预测氨基酸组别的能力高于预测特定氨基酸的能力达到71%。</w:t>
      </w:r>
      <w:r>
        <w:rPr>
          <w:rFonts w:hint="eastAsia" w:ascii="宋体" w:hAnsi="宋体" w:eastAsia="宋体" w:cs="宋体"/>
          <w:i w:val="0"/>
          <w:iCs w:val="0"/>
          <w:caps w:val="0"/>
          <w:color w:val="222222"/>
          <w:spacing w:val="0"/>
          <w:sz w:val="21"/>
          <w:szCs w:val="21"/>
          <w:shd w:val="clear" w:fill="FFFFFF"/>
        </w:rPr>
        <w:t>接下来，</w:t>
      </w:r>
      <w:r>
        <w:rPr>
          <w:rFonts w:hint="eastAsia" w:ascii="宋体" w:hAnsi="宋体" w:eastAsia="宋体" w:cs="宋体"/>
          <w:i w:val="0"/>
          <w:iCs w:val="0"/>
          <w:caps w:val="0"/>
          <w:color w:val="222222"/>
          <w:spacing w:val="0"/>
          <w:sz w:val="21"/>
          <w:szCs w:val="21"/>
          <w:shd w:val="clear" w:fill="FFFFFF"/>
          <w:lang w:val="en-US" w:eastAsia="zh-CN"/>
        </w:rPr>
        <w:t>团队</w:t>
      </w:r>
      <w:r>
        <w:rPr>
          <w:rFonts w:hint="eastAsia" w:ascii="宋体" w:hAnsi="宋体" w:eastAsia="宋体" w:cs="宋体"/>
          <w:i w:val="0"/>
          <w:iCs w:val="0"/>
          <w:caps w:val="0"/>
          <w:color w:val="222222"/>
          <w:spacing w:val="0"/>
          <w:sz w:val="21"/>
          <w:szCs w:val="21"/>
          <w:shd w:val="clear" w:fill="FFFFFF"/>
        </w:rPr>
        <w:t>询问了该网络在多序列比对 （MSA） 中预测位点的共有氨基酸的能力。这种预测的可能程度取决于给定位点周围的微环境在同源结构中的保守程度。</w:t>
      </w:r>
      <w:r>
        <w:rPr>
          <w:rFonts w:hint="eastAsia" w:ascii="宋体" w:hAnsi="宋体" w:eastAsia="宋体" w:cs="宋体"/>
          <w:i w:val="0"/>
          <w:iCs w:val="0"/>
          <w:caps w:val="0"/>
          <w:color w:val="222222"/>
          <w:spacing w:val="0"/>
          <w:sz w:val="21"/>
          <w:szCs w:val="21"/>
          <w:shd w:val="clear" w:fill="FFFFFF"/>
          <w:lang w:val="en-US" w:eastAsia="zh-CN"/>
        </w:rPr>
        <w:t>有40%的概率预测正确的共有氨基酸，55%的概率预测正确的类别。</w:t>
      </w:r>
    </w:p>
    <w:p w14:paraId="23B01A7B">
      <w:pPr>
        <w:rPr>
          <w:rFonts w:hint="eastAsia" w:ascii="宋体" w:hAnsi="宋体" w:eastAsia="宋体" w:cs="宋体"/>
          <w:i w:val="0"/>
          <w:iCs w:val="0"/>
          <w:caps w:val="0"/>
          <w:color w:val="222222"/>
          <w:spacing w:val="0"/>
          <w:sz w:val="21"/>
          <w:szCs w:val="21"/>
          <w:shd w:val="clear" w:fill="FFFFFF"/>
          <w:lang w:val="en-US" w:eastAsia="zh-CN"/>
        </w:rPr>
      </w:pPr>
    </w:p>
    <w:p w14:paraId="6E4DCE18">
      <w:pPr>
        <w:rPr>
          <w:rFonts w:hint="default" w:ascii="宋体" w:hAnsi="宋体" w:eastAsia="宋体" w:cs="宋体"/>
          <w:i w:val="0"/>
          <w:iCs w:val="0"/>
          <w:caps w:val="0"/>
          <w:color w:val="222222"/>
          <w:spacing w:val="0"/>
          <w:sz w:val="21"/>
          <w:szCs w:val="21"/>
          <w:shd w:val="clear" w:fill="FFFFFF"/>
          <w:lang w:val="en-US" w:eastAsia="zh-CN"/>
        </w:rPr>
      </w:pPr>
    </w:p>
    <w:p w14:paraId="0578B30F">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4.1.3 成果及应用</w:t>
      </w:r>
    </w:p>
    <w:p w14:paraId="304D1EDE">
      <w:pPr>
        <w:ind w:firstLine="420" w:firstLineChars="0"/>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Sam Gelman团队运用他们的模型进行了以下研究：</w:t>
      </w:r>
    </w:p>
    <w:p w14:paraId="318B3670">
      <w:pPr>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1） 采用统一流行近似和投影</w:t>
      </w:r>
      <w:r>
        <w:rPr>
          <w:rFonts w:hint="eastAsia" w:ascii="宋体" w:hAnsi="宋体" w:eastAsia="宋体" w:cs="宋体"/>
          <w:i w:val="0"/>
          <w:iCs w:val="0"/>
          <w:caps w:val="0"/>
          <w:color w:val="262626"/>
          <w:spacing w:val="0"/>
          <w:sz w:val="21"/>
          <w:szCs w:val="21"/>
          <w:shd w:val="clear" w:fill="FFFFFF"/>
          <w:vertAlign w:val="superscript"/>
          <w:lang w:val="en-US" w:eastAsia="zh-CN"/>
        </w:rPr>
        <w:fldChar w:fldCharType="begin"/>
      </w:r>
      <w:r>
        <w:rPr>
          <w:rFonts w:hint="eastAsia" w:ascii="宋体" w:hAnsi="宋体" w:eastAsia="宋体" w:cs="宋体"/>
          <w:i w:val="0"/>
          <w:iCs w:val="0"/>
          <w:caps w:val="0"/>
          <w:color w:val="262626"/>
          <w:spacing w:val="0"/>
          <w:sz w:val="21"/>
          <w:szCs w:val="21"/>
          <w:shd w:val="clear" w:fill="FFFFFF"/>
          <w:vertAlign w:val="superscript"/>
          <w:lang w:val="en-US" w:eastAsia="zh-CN"/>
        </w:rPr>
        <w:instrText xml:space="preserve"> REF _Ref3343 \r \h </w:instrText>
      </w:r>
      <w:r>
        <w:rPr>
          <w:rFonts w:hint="eastAsia" w:ascii="宋体" w:hAnsi="宋体" w:eastAsia="宋体" w:cs="宋体"/>
          <w:i w:val="0"/>
          <w:iCs w:val="0"/>
          <w:caps w:val="0"/>
          <w:color w:val="262626"/>
          <w:spacing w:val="0"/>
          <w:sz w:val="21"/>
          <w:szCs w:val="21"/>
          <w:shd w:val="clear" w:fill="FFFFFF"/>
          <w:vertAlign w:val="superscript"/>
          <w:lang w:val="en-US" w:eastAsia="zh-CN"/>
        </w:rPr>
        <w:fldChar w:fldCharType="separate"/>
      </w:r>
      <w:r>
        <w:rPr>
          <w:rFonts w:hint="eastAsia" w:ascii="宋体" w:hAnsi="宋体" w:eastAsia="宋体" w:cs="宋体"/>
          <w:i w:val="0"/>
          <w:iCs w:val="0"/>
          <w:caps w:val="0"/>
          <w:color w:val="262626"/>
          <w:spacing w:val="0"/>
          <w:sz w:val="21"/>
          <w:szCs w:val="21"/>
          <w:shd w:val="clear" w:fill="FFFFFF"/>
          <w:vertAlign w:val="superscript"/>
          <w:lang w:val="en-US" w:eastAsia="zh-CN"/>
        </w:rPr>
        <w:t>[5]</w:t>
      </w:r>
      <w:r>
        <w:rPr>
          <w:rFonts w:hint="eastAsia" w:ascii="宋体" w:hAnsi="宋体" w:eastAsia="宋体" w:cs="宋体"/>
          <w:i w:val="0"/>
          <w:iCs w:val="0"/>
          <w:caps w:val="0"/>
          <w:color w:val="262626"/>
          <w:spacing w:val="0"/>
          <w:sz w:val="21"/>
          <w:szCs w:val="21"/>
          <w:shd w:val="clear" w:fill="FFFFFF"/>
          <w:vertAlign w:val="superscript"/>
          <w:lang w:val="en-US" w:eastAsia="zh-CN"/>
        </w:rPr>
        <w:fldChar w:fldCharType="end"/>
      </w:r>
      <w:r>
        <w:rPr>
          <w:rFonts w:hint="eastAsia" w:ascii="宋体" w:hAnsi="宋体" w:eastAsia="宋体" w:cs="宋体"/>
          <w:i w:val="0"/>
          <w:iCs w:val="0"/>
          <w:caps w:val="0"/>
          <w:color w:val="262626"/>
          <w:spacing w:val="0"/>
          <w:sz w:val="21"/>
          <w:szCs w:val="21"/>
          <w:shd w:val="clear" w:fill="FFFFFF"/>
          <w:lang w:val="en-US" w:eastAsia="zh-CN"/>
        </w:rPr>
        <w:t>，将网络中的连接层可视化成蛋白质的三维结构（图1</w:t>
      </w:r>
      <w:r>
        <w:rPr>
          <w:rFonts w:hint="eastAsia" w:ascii="宋体" w:hAnsi="宋体" w:eastAsia="宋体" w:cs="宋体"/>
          <w:i w:val="0"/>
          <w:iCs w:val="0"/>
          <w:caps w:val="0"/>
          <w:color w:val="262626"/>
          <w:spacing w:val="0"/>
          <w:sz w:val="21"/>
          <w:szCs w:val="21"/>
          <w:shd w:val="clear" w:fill="FFFFFF"/>
          <w:vertAlign w:val="superscript"/>
          <w:lang w:val="en-US" w:eastAsia="zh-CN"/>
        </w:rPr>
        <w:fldChar w:fldCharType="begin"/>
      </w:r>
      <w:r>
        <w:rPr>
          <w:rFonts w:hint="eastAsia" w:ascii="宋体" w:hAnsi="宋体" w:eastAsia="宋体" w:cs="宋体"/>
          <w:i w:val="0"/>
          <w:iCs w:val="0"/>
          <w:caps w:val="0"/>
          <w:color w:val="262626"/>
          <w:spacing w:val="0"/>
          <w:sz w:val="21"/>
          <w:szCs w:val="21"/>
          <w:shd w:val="clear" w:fill="FFFFFF"/>
          <w:vertAlign w:val="superscript"/>
          <w:lang w:val="en-US" w:eastAsia="zh-CN"/>
        </w:rPr>
        <w:instrText xml:space="preserve"> REF _Ref3650 \r \h </w:instrText>
      </w:r>
      <w:r>
        <w:rPr>
          <w:rFonts w:hint="eastAsia" w:ascii="宋体" w:hAnsi="宋体" w:eastAsia="宋体" w:cs="宋体"/>
          <w:i w:val="0"/>
          <w:iCs w:val="0"/>
          <w:caps w:val="0"/>
          <w:color w:val="262626"/>
          <w:spacing w:val="0"/>
          <w:sz w:val="21"/>
          <w:szCs w:val="21"/>
          <w:shd w:val="clear" w:fill="FFFFFF"/>
          <w:vertAlign w:val="superscript"/>
          <w:lang w:val="en-US" w:eastAsia="zh-CN"/>
        </w:rPr>
        <w:fldChar w:fldCharType="separate"/>
      </w:r>
      <w:r>
        <w:rPr>
          <w:rFonts w:hint="eastAsia" w:ascii="宋体" w:hAnsi="宋体" w:eastAsia="宋体" w:cs="宋体"/>
          <w:i w:val="0"/>
          <w:iCs w:val="0"/>
          <w:caps w:val="0"/>
          <w:color w:val="262626"/>
          <w:spacing w:val="0"/>
          <w:sz w:val="21"/>
          <w:szCs w:val="21"/>
          <w:shd w:val="clear" w:fill="FFFFFF"/>
          <w:vertAlign w:val="superscript"/>
          <w:lang w:val="en-US" w:eastAsia="zh-CN"/>
        </w:rPr>
        <w:t>[6]</w:t>
      </w:r>
      <w:r>
        <w:rPr>
          <w:rFonts w:hint="eastAsia" w:ascii="宋体" w:hAnsi="宋体" w:eastAsia="宋体" w:cs="宋体"/>
          <w:i w:val="0"/>
          <w:iCs w:val="0"/>
          <w:caps w:val="0"/>
          <w:color w:val="262626"/>
          <w:spacing w:val="0"/>
          <w:sz w:val="21"/>
          <w:szCs w:val="21"/>
          <w:shd w:val="clear" w:fill="FFFFFF"/>
          <w:vertAlign w:val="superscript"/>
          <w:lang w:val="en-US" w:eastAsia="zh-CN"/>
        </w:rPr>
        <w:fldChar w:fldCharType="end"/>
      </w:r>
      <w:r>
        <w:rPr>
          <w:rFonts w:hint="eastAsia" w:ascii="宋体" w:hAnsi="宋体" w:eastAsia="宋体" w:cs="宋体"/>
          <w:i w:val="0"/>
          <w:iCs w:val="0"/>
          <w:caps w:val="0"/>
          <w:color w:val="262626"/>
          <w:spacing w:val="0"/>
          <w:sz w:val="21"/>
          <w:szCs w:val="21"/>
          <w:shd w:val="clear" w:fill="FFFFFF"/>
          <w:lang w:val="en-US" w:eastAsia="zh-CN"/>
        </w:rPr>
        <w:t>），并根据其得分给蛋白质着色，从而了解哪些序列位置对蛋白质的影响最大，了解哪些区域是突变不耐受的。</w:t>
      </w:r>
    </w:p>
    <w:p w14:paraId="175F8384">
      <w:pPr>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2 ）在野生型蛋白基础上设计新蛋白质。运用训练的模型对那些相对野生型仅有局部变化的蛋白质进行评估，运用线性回归和三种神经网络四个模型联合打分,这里采用随机重启爬山算法，最大化最低预测功能分数。</w:t>
      </w:r>
    </w:p>
    <w:p w14:paraId="35A0AB0A">
      <w:pPr>
        <w:rPr>
          <w:rFonts w:hint="eastAsia" w:ascii="宋体" w:hAnsi="宋体" w:eastAsia="宋体" w:cs="宋体"/>
          <w:i w:val="0"/>
          <w:iCs w:val="0"/>
          <w:caps w:val="0"/>
          <w:color w:val="262626"/>
          <w:spacing w:val="0"/>
          <w:sz w:val="21"/>
          <w:szCs w:val="21"/>
          <w:shd w:val="clear" w:fill="FFFFFF"/>
          <w:lang w:val="en-US" w:eastAsia="zh-CN"/>
        </w:rPr>
      </w:pPr>
    </w:p>
    <w:p w14:paraId="67E77993">
      <w:pPr>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4.1.4 讨论与展望</w:t>
      </w:r>
    </w:p>
    <w:p w14:paraId="7ACE4282">
      <w:pPr>
        <w:pStyle w:val="4"/>
        <w:keepNext w:val="0"/>
        <w:keepLines w:val="0"/>
        <w:widowControl/>
        <w:suppressLineNumbers w:val="0"/>
        <w:shd w:val="clear" w:fill="FFFFFF"/>
        <w:spacing w:before="0" w:beforeAutospacing="0" w:after="210" w:afterAutospacing="0"/>
        <w:ind w:left="0" w:firstLine="420" w:firstLineChars="0"/>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C2C36"/>
          <w:spacing w:val="1"/>
          <w:sz w:val="21"/>
          <w:szCs w:val="21"/>
          <w:shd w:val="clear" w:fill="FFFFFF"/>
        </w:rPr>
        <w:t>上述研究结果进一步确认了氨基酸与其所处的局部生化环境之间存在着紧密联系的观点，并表明蛋白质中的氨基酸所受的限制条件会随着蛋白质的进化过程而发生改变。模型的</w:t>
      </w:r>
      <w:r>
        <w:rPr>
          <w:rFonts w:hint="eastAsia" w:ascii="宋体" w:hAnsi="宋体" w:eastAsia="宋体" w:cs="宋体"/>
          <w:i w:val="0"/>
          <w:iCs w:val="0"/>
          <w:caps w:val="0"/>
          <w:color w:val="2C2C36"/>
          <w:spacing w:val="1"/>
          <w:sz w:val="21"/>
          <w:szCs w:val="21"/>
          <w:shd w:val="clear" w:fill="FFFFFF"/>
        </w:rPr>
        <w:t>错误</w:t>
      </w:r>
      <w:r>
        <w:rPr>
          <w:rFonts w:hint="eastAsia" w:ascii="宋体" w:hAnsi="宋体" w:eastAsia="宋体" w:cs="宋体"/>
          <w:i w:val="0"/>
          <w:iCs w:val="0"/>
          <w:caps w:val="0"/>
          <w:color w:val="2C2C36"/>
          <w:spacing w:val="1"/>
          <w:sz w:val="21"/>
          <w:szCs w:val="21"/>
          <w:shd w:val="clear" w:fill="FFFFFF"/>
        </w:rPr>
        <w:t>预测</w:t>
      </w:r>
      <w:r>
        <w:rPr>
          <w:rFonts w:hint="eastAsia" w:ascii="宋体" w:hAnsi="宋体" w:eastAsia="宋体" w:cs="宋体"/>
          <w:i w:val="0"/>
          <w:iCs w:val="0"/>
          <w:caps w:val="0"/>
          <w:color w:val="2C2C36"/>
          <w:spacing w:val="1"/>
          <w:sz w:val="21"/>
          <w:szCs w:val="21"/>
          <w:shd w:val="clear" w:fill="FFFFFF"/>
          <w:lang w:eastAsia="zh-CN"/>
        </w:rPr>
        <w:t>也许</w:t>
      </w:r>
      <w:r>
        <w:rPr>
          <w:rFonts w:hint="eastAsia" w:ascii="宋体" w:hAnsi="宋体" w:eastAsia="宋体" w:cs="宋体"/>
          <w:i w:val="0"/>
          <w:iCs w:val="0"/>
          <w:caps w:val="0"/>
          <w:color w:val="2C2C36"/>
          <w:spacing w:val="1"/>
          <w:sz w:val="21"/>
          <w:szCs w:val="21"/>
          <w:shd w:val="clear" w:fill="FFFFFF"/>
        </w:rPr>
        <w:t>为蛋白质工程提供了一种新的视角，</w:t>
      </w:r>
      <w:r>
        <w:rPr>
          <w:rFonts w:hint="eastAsia" w:ascii="宋体" w:hAnsi="宋体" w:eastAsia="宋体" w:cs="宋体"/>
          <w:i w:val="0"/>
          <w:iCs w:val="0"/>
          <w:caps w:val="0"/>
          <w:color w:val="2C2C36"/>
          <w:spacing w:val="1"/>
          <w:sz w:val="21"/>
          <w:szCs w:val="21"/>
          <w:shd w:val="clear" w:fill="FFFFFF"/>
          <w:lang w:eastAsia="zh-CN"/>
        </w:rPr>
        <w:t>即</w:t>
      </w:r>
      <w:r>
        <w:rPr>
          <w:rFonts w:hint="eastAsia" w:ascii="宋体" w:hAnsi="宋体" w:eastAsia="宋体" w:cs="宋体"/>
          <w:i w:val="0"/>
          <w:iCs w:val="0"/>
          <w:caps w:val="0"/>
          <w:color w:val="2C2C36"/>
          <w:spacing w:val="1"/>
          <w:sz w:val="21"/>
          <w:szCs w:val="21"/>
          <w:shd w:val="clear" w:fill="FFFFFF"/>
        </w:rPr>
        <w:t>能够识别出那些可能适合进行突变的位置。具体而言，当模型</w:t>
      </w:r>
      <w:r>
        <w:rPr>
          <w:rFonts w:hint="eastAsia" w:ascii="宋体" w:hAnsi="宋体" w:eastAsia="宋体" w:cs="宋体"/>
          <w:i w:val="0"/>
          <w:iCs w:val="0"/>
          <w:caps w:val="0"/>
          <w:color w:val="2C2C36"/>
          <w:spacing w:val="1"/>
          <w:sz w:val="21"/>
          <w:szCs w:val="21"/>
          <w:shd w:val="clear" w:fill="FFFFFF"/>
          <w:lang w:eastAsia="zh-CN"/>
        </w:rPr>
        <w:t>“</w:t>
      </w:r>
      <w:r>
        <w:rPr>
          <w:rFonts w:hint="eastAsia" w:ascii="宋体" w:hAnsi="宋体" w:eastAsia="宋体" w:cs="宋体"/>
          <w:i w:val="0"/>
          <w:iCs w:val="0"/>
          <w:caps w:val="0"/>
          <w:color w:val="2C2C36"/>
          <w:spacing w:val="1"/>
          <w:sz w:val="21"/>
          <w:szCs w:val="21"/>
          <w:shd w:val="clear" w:fill="FFFFFF"/>
        </w:rPr>
        <w:t>自信</w:t>
      </w:r>
      <w:r>
        <w:rPr>
          <w:rFonts w:hint="eastAsia" w:ascii="宋体" w:hAnsi="宋体" w:eastAsia="宋体" w:cs="宋体"/>
          <w:i w:val="0"/>
          <w:iCs w:val="0"/>
          <w:caps w:val="0"/>
          <w:color w:val="2C2C36"/>
          <w:spacing w:val="1"/>
          <w:sz w:val="21"/>
          <w:szCs w:val="21"/>
          <w:shd w:val="clear" w:fill="FFFFFF"/>
          <w:lang w:eastAsia="zh-CN"/>
        </w:rPr>
        <w:t>”</w:t>
      </w:r>
      <w:r>
        <w:rPr>
          <w:rFonts w:hint="eastAsia" w:ascii="宋体" w:hAnsi="宋体" w:eastAsia="宋体" w:cs="宋体"/>
          <w:i w:val="0"/>
          <w:iCs w:val="0"/>
          <w:caps w:val="0"/>
          <w:color w:val="2C2C36"/>
          <w:spacing w:val="1"/>
          <w:sz w:val="21"/>
          <w:szCs w:val="21"/>
          <w:shd w:val="clear" w:fill="FFFFFF"/>
        </w:rPr>
        <w:t>地预测出与现有野生型不同的氨基酸时，这</w:t>
      </w:r>
      <w:r>
        <w:rPr>
          <w:rFonts w:hint="eastAsia" w:ascii="宋体" w:hAnsi="宋体" w:eastAsia="宋体" w:cs="宋体"/>
          <w:i w:val="0"/>
          <w:iCs w:val="0"/>
          <w:caps w:val="0"/>
          <w:color w:val="2C2C36"/>
          <w:spacing w:val="1"/>
          <w:sz w:val="21"/>
          <w:szCs w:val="21"/>
          <w:shd w:val="clear" w:fill="FFFFFF"/>
          <w:lang w:eastAsia="zh-CN"/>
        </w:rPr>
        <w:t>大概率</w:t>
      </w:r>
      <w:r>
        <w:rPr>
          <w:rFonts w:hint="eastAsia" w:ascii="宋体" w:hAnsi="宋体" w:eastAsia="宋体" w:cs="宋体"/>
          <w:i w:val="0"/>
          <w:iCs w:val="0"/>
          <w:caps w:val="0"/>
          <w:color w:val="2C2C36"/>
          <w:spacing w:val="1"/>
          <w:sz w:val="21"/>
          <w:szCs w:val="21"/>
          <w:shd w:val="clear" w:fill="FFFFFF"/>
        </w:rPr>
        <w:t>意味着该位置具有较高的突变潜力，而模型错误预测的特定氨基酸则可能是实现结构稳定或功能增强突变的理想选择。这一发现不仅加深了我们对蛋白质进化机制的理解，还为未来的研究提供了宝贵的指导方向。</w:t>
      </w:r>
    </w:p>
    <w:p w14:paraId="1A3DDB24">
      <w:pPr>
        <w:rPr>
          <w:rFonts w:hint="eastAsia" w:ascii="宋体" w:hAnsi="宋体" w:eastAsia="宋体" w:cs="宋体"/>
          <w:i w:val="0"/>
          <w:iCs w:val="0"/>
          <w:caps w:val="0"/>
          <w:color w:val="222222"/>
          <w:spacing w:val="0"/>
          <w:sz w:val="21"/>
          <w:szCs w:val="21"/>
          <w:shd w:val="clear" w:fill="FFFFFF"/>
          <w:lang w:val="en-US" w:eastAsia="zh-CN"/>
        </w:rPr>
      </w:pPr>
    </w:p>
    <w:p w14:paraId="2ADD642B">
      <w:pPr>
        <w:rPr>
          <w:rFonts w:hint="eastAsia" w:ascii="宋体" w:hAnsi="宋体" w:eastAsia="宋体" w:cs="宋体"/>
          <w:i w:val="0"/>
          <w:iCs w:val="0"/>
          <w:caps w:val="0"/>
          <w:color w:val="222222"/>
          <w:spacing w:val="0"/>
          <w:sz w:val="21"/>
          <w:szCs w:val="21"/>
          <w:shd w:val="clear" w:fill="FFFFFF"/>
        </w:rPr>
      </w:pPr>
    </w:p>
    <w:p w14:paraId="73C26D27">
      <w:pPr>
        <w:rPr>
          <w:rFonts w:hint="eastAsia" w:ascii="宋体" w:hAnsi="宋体" w:eastAsia="宋体" w:cs="宋体"/>
          <w:i w:val="0"/>
          <w:iCs w:val="0"/>
          <w:caps w:val="0"/>
          <w:color w:val="222222"/>
          <w:spacing w:val="0"/>
          <w:sz w:val="21"/>
          <w:szCs w:val="21"/>
          <w:shd w:val="clear" w:fill="FFFFFF"/>
          <w:lang w:val="en-US" w:eastAsia="zh-CN"/>
        </w:rPr>
      </w:pPr>
    </w:p>
    <w:p w14:paraId="18BB0FE1">
      <w:pPr>
        <w:rPr>
          <w:rFonts w:hint="eastAsia" w:ascii="宋体" w:hAnsi="宋体" w:eastAsia="宋体" w:cs="宋体"/>
          <w:i w:val="0"/>
          <w:iCs w:val="0"/>
          <w:caps w:val="0"/>
          <w:color w:val="262626"/>
          <w:spacing w:val="0"/>
          <w:sz w:val="21"/>
          <w:szCs w:val="21"/>
          <w:shd w:val="clear" w:fill="FFFFFF"/>
          <w:lang w:val="en-US" w:eastAsia="zh-CN"/>
        </w:rPr>
      </w:pPr>
    </w:p>
    <w:p w14:paraId="6D637C40">
      <w:pPr>
        <w:ind w:firstLine="420" w:firstLineChars="0"/>
        <w:rPr>
          <w:rFonts w:hint="eastAsia" w:ascii="宋体" w:hAnsi="宋体" w:eastAsia="宋体" w:cs="宋体"/>
          <w:i w:val="0"/>
          <w:iCs w:val="0"/>
          <w:caps w:val="0"/>
          <w:color w:val="262626"/>
          <w:spacing w:val="0"/>
          <w:sz w:val="21"/>
          <w:szCs w:val="21"/>
          <w:shd w:val="clear" w:fill="FFFFFF"/>
          <w:lang w:val="en-US" w:eastAsia="zh-CN"/>
        </w:rPr>
      </w:pPr>
    </w:p>
    <w:p w14:paraId="6C351DE8">
      <w:pPr>
        <w:ind w:firstLine="420" w:firstLineChars="0"/>
        <w:rPr>
          <w:rFonts w:hint="eastAsia" w:ascii="宋体" w:hAnsi="宋体" w:eastAsia="宋体" w:cs="宋体"/>
          <w:i w:val="0"/>
          <w:iCs w:val="0"/>
          <w:caps w:val="0"/>
          <w:color w:val="262626"/>
          <w:spacing w:val="0"/>
          <w:sz w:val="21"/>
          <w:szCs w:val="21"/>
          <w:shd w:val="clear" w:fill="FFFFFF"/>
          <w:lang w:val="en-US" w:eastAsia="zh-CN"/>
        </w:rPr>
      </w:pPr>
    </w:p>
    <w:p w14:paraId="0EA0914A">
      <w:pPr>
        <w:ind w:firstLine="420" w:firstLineChars="0"/>
        <w:rPr>
          <w:rFonts w:hint="eastAsia" w:ascii="宋体" w:hAnsi="宋体" w:eastAsia="宋体" w:cs="宋体"/>
          <w:i w:val="0"/>
          <w:iCs w:val="0"/>
          <w:caps w:val="0"/>
          <w:color w:val="262626"/>
          <w:spacing w:val="0"/>
          <w:sz w:val="21"/>
          <w:szCs w:val="21"/>
          <w:shd w:val="clear" w:fill="FFFFFF"/>
          <w:lang w:val="en-US" w:eastAsia="zh-CN"/>
        </w:rPr>
      </w:pPr>
    </w:p>
    <w:p w14:paraId="18D07A58">
      <w:pPr>
        <w:rPr>
          <w:rFonts w:hint="default" w:ascii="宋体" w:hAnsi="宋体" w:eastAsia="宋体" w:cs="宋体"/>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1"/>
          <w:szCs w:val="21"/>
          <w:shd w:val="clear" w:fill="FFFFFF"/>
          <w:lang w:val="en-US" w:eastAsia="zh-CN"/>
          <w14:textFill>
            <w14:solidFill>
              <w14:schemeClr w14:val="tx1"/>
            </w14:solidFill>
          </w14:textFill>
        </w:rPr>
        <w:t>参考文献</w:t>
      </w:r>
    </w:p>
    <w:p w14:paraId="1B91D222">
      <w:pPr>
        <w:numPr>
          <w:ilvl w:val="0"/>
          <w:numId w:val="1"/>
        </w:numPr>
        <w:tabs>
          <w:tab w:val="clear" w:pos="0"/>
        </w:tabs>
        <w:ind w:left="0" w:leftChars="0" w:firstLine="0" w:firstLineChars="0"/>
        <w:rPr>
          <w:rFonts w:hint="default" w:ascii="Arial" w:hAnsi="Arial" w:eastAsia="宋体" w:cs="Arial"/>
          <w:b w:val="0"/>
          <w:bCs w:val="0"/>
          <w:i w:val="0"/>
          <w:iCs w:val="0"/>
          <w:caps w:val="0"/>
          <w:color w:val="000000" w:themeColor="text1"/>
          <w:spacing w:val="0"/>
          <w:sz w:val="18"/>
          <w:szCs w:val="18"/>
          <w:shd w:val="clear" w:fill="FFFFFF"/>
          <w:lang w:val="en-US" w:eastAsia="zh-CN"/>
          <w14:textFill>
            <w14:solidFill>
              <w14:schemeClr w14:val="tx1"/>
            </w14:solidFill>
          </w14:textFill>
        </w:rPr>
      </w:pPr>
      <w:bookmarkStart w:id="0" w:name="_Ref26993"/>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T. A. Hopf et al., Mutation effects predicted from sequence co-variation. </w:t>
      </w:r>
      <w:r>
        <w:rPr>
          <w:rStyle w:val="8"/>
          <w:rFonts w:hint="default" w:ascii="Arial" w:hAnsi="Arial" w:eastAsia="sans-serif" w:cs="Arial"/>
          <w:b w:val="0"/>
          <w:bCs w:val="0"/>
          <w:caps w:val="0"/>
          <w:color w:val="000000" w:themeColor="text1"/>
          <w:spacing w:val="0"/>
          <w:sz w:val="18"/>
          <w:szCs w:val="18"/>
          <w14:textFill>
            <w14:solidFill>
              <w14:schemeClr w14:val="tx1"/>
            </w14:solidFill>
          </w14:textFill>
        </w:rPr>
        <w:t>Nat. Biotechnol.</w:t>
      </w:r>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 35, 128–135 (2017). </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begin"/>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instrText xml:space="preserve"> HYPERLINK "https://doi.org/10.1038/nbt.3769" </w:instrTex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separate"/>
      </w:r>
      <w:r>
        <w:rPr>
          <w:rStyle w:val="9"/>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t>Crossref</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end"/>
      </w:r>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 </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begin"/>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instrText xml:space="preserve"> HYPERLINK "https://pubmed.ncbi.nlm.nih.gov/28092658/" </w:instrTex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separate"/>
      </w:r>
      <w:r>
        <w:rPr>
          <w:rStyle w:val="9"/>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t>PubMed</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end"/>
      </w:r>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w:t>
      </w:r>
      <w:bookmarkEnd w:id="0"/>
    </w:p>
    <w:p w14:paraId="2864E044">
      <w:pPr>
        <w:numPr>
          <w:ilvl w:val="0"/>
          <w:numId w:val="1"/>
        </w:numPr>
        <w:tabs>
          <w:tab w:val="clear" w:pos="0"/>
        </w:tabs>
        <w:ind w:left="0" w:leftChars="0" w:firstLine="0" w:firstLineChars="0"/>
        <w:rPr>
          <w:rFonts w:hint="default" w:ascii="Arial" w:hAnsi="Arial" w:eastAsia="宋体" w:cs="Arial"/>
          <w:b w:val="0"/>
          <w:bCs w:val="0"/>
          <w:i w:val="0"/>
          <w:iCs w:val="0"/>
          <w:caps w:val="0"/>
          <w:color w:val="000000" w:themeColor="text1"/>
          <w:spacing w:val="0"/>
          <w:sz w:val="18"/>
          <w:szCs w:val="18"/>
          <w:shd w:val="clear" w:fill="FFFFFF"/>
          <w:lang w:val="en-US" w:eastAsia="zh-CN"/>
          <w14:textFill>
            <w14:solidFill>
              <w14:schemeClr w14:val="tx1"/>
            </w14:solidFill>
          </w14:textFill>
        </w:rPr>
      </w:pPr>
      <w:bookmarkStart w:id="1" w:name="_Ref27418"/>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A. J. Riesselman, J. B. Ingraham, D. S. Marks, Deep generative models of genetic variation capture the effects of mutations. </w:t>
      </w:r>
      <w:r>
        <w:rPr>
          <w:rStyle w:val="8"/>
          <w:rFonts w:hint="default" w:ascii="Arial" w:hAnsi="Arial" w:eastAsia="sans-serif" w:cs="Arial"/>
          <w:b w:val="0"/>
          <w:bCs w:val="0"/>
          <w:caps w:val="0"/>
          <w:color w:val="000000" w:themeColor="text1"/>
          <w:spacing w:val="0"/>
          <w:sz w:val="18"/>
          <w:szCs w:val="18"/>
          <w14:textFill>
            <w14:solidFill>
              <w14:schemeClr w14:val="tx1"/>
            </w14:solidFill>
          </w14:textFill>
        </w:rPr>
        <w:t>Nat. Methods</w:t>
      </w:r>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 15, 816–822 (2018). </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begin"/>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instrText xml:space="preserve"> HYPERLINK "https://doi.org/10.1038/s41592-018-0138-4" </w:instrTex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separate"/>
      </w:r>
      <w:r>
        <w:rPr>
          <w:rStyle w:val="9"/>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t>Crossref</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end"/>
      </w:r>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 </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begin"/>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instrText xml:space="preserve"> HYPERLINK "https://pubmed.ncbi.nlm.nih.gov/30250057/" </w:instrTex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separate"/>
      </w:r>
      <w:r>
        <w:rPr>
          <w:rStyle w:val="9"/>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t>PubMed</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end"/>
      </w:r>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w:t>
      </w:r>
      <w:bookmarkEnd w:id="1"/>
    </w:p>
    <w:p w14:paraId="7381345B">
      <w:pPr>
        <w:numPr>
          <w:ilvl w:val="0"/>
          <w:numId w:val="1"/>
        </w:numPr>
        <w:tabs>
          <w:tab w:val="clear" w:pos="0"/>
        </w:tabs>
        <w:ind w:left="0" w:leftChars="0" w:firstLine="0" w:firstLineChars="0"/>
        <w:rPr>
          <w:rFonts w:hint="default" w:ascii="Arial" w:hAnsi="Arial" w:eastAsia="宋体" w:cs="Arial"/>
          <w:b w:val="0"/>
          <w:bCs w:val="0"/>
          <w:i w:val="0"/>
          <w:iCs w:val="0"/>
          <w:caps w:val="0"/>
          <w:color w:val="000000" w:themeColor="text1"/>
          <w:spacing w:val="0"/>
          <w:sz w:val="18"/>
          <w:szCs w:val="18"/>
          <w:shd w:val="clear" w:fill="FFFFFF"/>
          <w:lang w:val="en-US" w:eastAsia="zh-CN"/>
          <w14:textFill>
            <w14:solidFill>
              <w14:schemeClr w14:val="tx1"/>
            </w14:solidFill>
          </w14:textFill>
        </w:rPr>
      </w:pPr>
      <w:bookmarkStart w:id="2" w:name="_Ref28195"/>
      <w:r>
        <w:rPr>
          <w:rFonts w:hint="default" w:ascii="Arial" w:hAnsi="Arial" w:eastAsia="Helvetica" w:cs="Arial"/>
          <w:b w:val="0"/>
          <w:bCs w:val="0"/>
          <w:i w:val="0"/>
          <w:iCs w:val="0"/>
          <w:caps w:val="0"/>
          <w:color w:val="000000" w:themeColor="text1"/>
          <w:spacing w:val="0"/>
          <w:sz w:val="18"/>
          <w:szCs w:val="18"/>
          <w:shd w:val="clear" w:fill="FFFFFF"/>
          <w14:textFill>
            <w14:solidFill>
              <w14:schemeClr w14:val="tx1"/>
            </w14:solidFill>
          </w14:textFill>
        </w:rPr>
        <w:t>Jumper, J., Evans, R., Pritzel, A., Green, T., Figurnov, M., Ronneberger, O., Tunyasuvunakool, K., Bates, R., Žídek, A., Potapenko, A., Bridgland, A., Meyer, C., Kohl, S.A.A., Ballard, A.J., Cowie, A., Romera-Paredes, B., Nikolov, S., Jain, R., Adler, J., Back, T., Petersen, S., Reiman, D., Clancy, E., Zielinski, M., Steinegger, M., Pacholska, M., Berghammer, T., Bodenstein, S., Silver, D., Vinyals, O., Senior, A.W., Kavukcuoglu, K., Kohli, P., Hassabis, D.: Highly accurate protein structure prediction with AlphaFold. Nature 596, 583–589</w:t>
      </w:r>
      <w:bookmarkEnd w:id="2"/>
    </w:p>
    <w:p w14:paraId="2935CB3B">
      <w:pPr>
        <w:numPr>
          <w:ilvl w:val="0"/>
          <w:numId w:val="1"/>
        </w:numPr>
        <w:tabs>
          <w:tab w:val="clear" w:pos="0"/>
        </w:tabs>
        <w:ind w:left="0" w:leftChars="0" w:firstLine="0" w:firstLineChars="0"/>
        <w:rPr>
          <w:rFonts w:hint="default" w:ascii="Arial" w:hAnsi="Arial" w:eastAsia="宋体" w:cs="Arial"/>
          <w:b w:val="0"/>
          <w:bCs w:val="0"/>
          <w:i w:val="0"/>
          <w:iCs w:val="0"/>
          <w:caps w:val="0"/>
          <w:color w:val="000000" w:themeColor="text1"/>
          <w:spacing w:val="0"/>
          <w:sz w:val="18"/>
          <w:szCs w:val="18"/>
          <w:shd w:val="clear" w:fill="FFFFFF"/>
          <w:lang w:val="en-US" w:eastAsia="zh-CN"/>
          <w14:textFill>
            <w14:solidFill>
              <w14:schemeClr w14:val="tx1"/>
            </w14:solidFill>
          </w14:textFill>
        </w:rPr>
      </w:pPr>
      <w:bookmarkStart w:id="3" w:name="_Ref31248"/>
      <w:r>
        <w:rPr>
          <w:rFonts w:hint="default" w:ascii="Arial" w:hAnsi="Arial" w:eastAsia="Helvetica" w:cs="Arial"/>
          <w:b w:val="0"/>
          <w:bCs w:val="0"/>
          <w:i w:val="0"/>
          <w:iCs w:val="0"/>
          <w:caps w:val="0"/>
          <w:color w:val="000000" w:themeColor="text1"/>
          <w:spacing w:val="0"/>
          <w:sz w:val="18"/>
          <w:szCs w:val="18"/>
          <w:shd w:val="clear" w:fill="FFFFFF"/>
          <w14:textFill>
            <w14:solidFill>
              <w14:schemeClr w14:val="tx1"/>
            </w14:solidFill>
          </w14:textFill>
        </w:rPr>
        <w:t>Jones, D.T., Buchan, D.W.A., Cozzetto, D., Pontil, M.: PSICOV: precise structural contact prediction using sparse inverse covariance estimation on large multiple sequence alignments. Bioinformatics 28, 184–190 (2011)</w:t>
      </w:r>
      <w:bookmarkEnd w:id="3"/>
    </w:p>
    <w:p w14:paraId="69245499">
      <w:pPr>
        <w:numPr>
          <w:ilvl w:val="0"/>
          <w:numId w:val="1"/>
        </w:numPr>
        <w:tabs>
          <w:tab w:val="clear" w:pos="0"/>
        </w:tabs>
        <w:ind w:left="0" w:leftChars="0" w:firstLine="0" w:firstLineChars="0"/>
        <w:rPr>
          <w:rFonts w:hint="default" w:ascii="Arial" w:hAnsi="Arial" w:eastAsia="宋体" w:cs="Arial"/>
          <w:b w:val="0"/>
          <w:bCs w:val="0"/>
          <w:i w:val="0"/>
          <w:iCs w:val="0"/>
          <w:caps w:val="0"/>
          <w:color w:val="000000" w:themeColor="text1"/>
          <w:spacing w:val="0"/>
          <w:sz w:val="18"/>
          <w:szCs w:val="18"/>
          <w:shd w:val="clear" w:fill="FFFFFF"/>
          <w:lang w:val="en-US" w:eastAsia="zh-CN"/>
          <w14:textFill>
            <w14:solidFill>
              <w14:schemeClr w14:val="tx1"/>
            </w14:solidFill>
          </w14:textFill>
        </w:rPr>
      </w:pPr>
      <w:bookmarkStart w:id="4" w:name="_Ref3343"/>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 xml:space="preserve">L. McInnes, J. Healy, UMAP: Uniform manifold approximation and projection for dimension reduction. </w:t>
      </w:r>
      <w:bookmarkStart w:id="11" w:name="_GoBack"/>
      <w:bookmarkEnd w:id="11"/>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arXiv [Preprint] (2020). </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begin"/>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instrText xml:space="preserve"> HYPERLINK "https://arxiv.org/abs/1802.03426" </w:instrTex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separate"/>
      </w:r>
      <w:r>
        <w:rPr>
          <w:rStyle w:val="9"/>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t>https://arxiv.org/abs/1802.03426</w:t>
      </w:r>
      <w:r>
        <w:rPr>
          <w:rFonts w:hint="default" w:ascii="Arial" w:hAnsi="Arial" w:eastAsia="sans-serif" w:cs="Arial"/>
          <w:b w:val="0"/>
          <w:bCs w:val="0"/>
          <w:i w:val="0"/>
          <w:iCs w:val="0"/>
          <w:caps w:val="0"/>
          <w:color w:val="000000" w:themeColor="text1"/>
          <w:spacing w:val="0"/>
          <w:sz w:val="18"/>
          <w:szCs w:val="18"/>
          <w:u w:val="none"/>
          <w14:textFill>
            <w14:solidFill>
              <w14:schemeClr w14:val="tx1"/>
            </w14:solidFill>
          </w14:textFill>
        </w:rPr>
        <w:fldChar w:fldCharType="end"/>
      </w:r>
      <w:r>
        <w:rPr>
          <w:rFonts w:hint="default" w:ascii="Arial" w:hAnsi="Arial" w:eastAsia="sans-serif" w:cs="Arial"/>
          <w:b w:val="0"/>
          <w:bCs w:val="0"/>
          <w:i w:val="0"/>
          <w:iCs w:val="0"/>
          <w:caps w:val="0"/>
          <w:color w:val="000000" w:themeColor="text1"/>
          <w:spacing w:val="0"/>
          <w:sz w:val="18"/>
          <w:szCs w:val="18"/>
          <w14:textFill>
            <w14:solidFill>
              <w14:schemeClr w14:val="tx1"/>
            </w14:solidFill>
          </w14:textFill>
        </w:rPr>
        <w:t> (Accessed 18 September 2020).</w:t>
      </w:r>
      <w:bookmarkEnd w:id="4"/>
    </w:p>
    <w:p w14:paraId="6BFFD3AC">
      <w:pPr>
        <w:numPr>
          <w:ilvl w:val="0"/>
          <w:numId w:val="1"/>
        </w:numPr>
        <w:tabs>
          <w:tab w:val="clear" w:pos="0"/>
        </w:tabs>
        <w:ind w:left="0" w:leftChars="0" w:firstLine="0" w:firstLineChars="0"/>
        <w:rPr>
          <w:rFonts w:hint="default" w:ascii="Arial" w:hAnsi="Arial" w:eastAsia="宋体" w:cs="Arial"/>
          <w:b w:val="0"/>
          <w:bCs w:val="0"/>
          <w:i w:val="0"/>
          <w:iCs w:val="0"/>
          <w:caps w:val="0"/>
          <w:color w:val="000000" w:themeColor="text1"/>
          <w:spacing w:val="0"/>
          <w:sz w:val="18"/>
          <w:szCs w:val="18"/>
          <w:u w:val="none"/>
          <w:shd w:val="clear" w:fill="FFFFFF"/>
          <w:lang w:val="en-US" w:eastAsia="zh-CN"/>
          <w14:textFill>
            <w14:solidFill>
              <w14:schemeClr w14:val="tx1"/>
            </w14:solidFill>
          </w14:textFill>
        </w:rPr>
      </w:pPr>
      <w:bookmarkStart w:id="5" w:name="_Ref3650"/>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t>Sam Gelman, Sarah A. Fahlberg, Pete Heinzelman, Philip A. Romero &amp; Anthony Gitter</w:t>
      </w:r>
      <w:r>
        <w:rPr>
          <w:rFonts w:hint="default" w:ascii="Arial" w:hAnsi="Arial" w:eastAsia="宋体" w:cs="Arial"/>
          <w:b w:val="0"/>
          <w:bCs w:val="0"/>
          <w:i w:val="0"/>
          <w:iCs w:val="0"/>
          <w:caps w:val="0"/>
          <w:color w:val="000000" w:themeColor="text1"/>
          <w:spacing w:val="0"/>
          <w:sz w:val="18"/>
          <w:szCs w:val="18"/>
          <w:u w:val="none"/>
          <w:shd w:val="clear" w:fill="FFFFFF"/>
          <w:lang w:val="en-US" w:eastAsia="zh-CN"/>
          <w14:textFill>
            <w14:solidFill>
              <w14:schemeClr w14:val="tx1"/>
            </w14:solidFill>
          </w14:textFill>
        </w:rPr>
        <w:t xml:space="preserve">. </w: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fldChar w:fldCharType="begin"/>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instrText xml:space="preserve"> HYPERLINK "https://doi.org/10.1073/pnas.2104878118" </w:instrTex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fldChar w:fldCharType="separate"/>
      </w:r>
      <w:r>
        <w:rPr>
          <w:rStyle w:val="9"/>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t>Proceedings of the National Academy of Sciences</w: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fldChar w:fldCharType="end"/>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t> • </w: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fldChar w:fldCharType="begin"/>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instrText xml:space="preserve"> HYPERLINK "https://github.com/gitter-lab/nn4dms" </w:instrTex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fldChar w:fldCharType="separate"/>
      </w:r>
      <w:r>
        <w:rPr>
          <w:rStyle w:val="9"/>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t>code</w: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fldChar w:fldCharType="end"/>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t> • Nov 2021</w:t>
      </w:r>
      <w:bookmarkEnd w:id="5"/>
    </w:p>
    <w:p w14:paraId="629EBB7A">
      <w:pPr>
        <w:numPr>
          <w:ilvl w:val="0"/>
          <w:numId w:val="1"/>
        </w:numPr>
        <w:tabs>
          <w:tab w:val="clear" w:pos="0"/>
        </w:tabs>
        <w:ind w:left="0" w:leftChars="0" w:firstLine="0" w:firstLineChars="0"/>
        <w:rPr>
          <w:rFonts w:hint="default" w:ascii="Arial" w:hAnsi="Arial" w:eastAsia="宋体" w:cs="Arial"/>
          <w:b w:val="0"/>
          <w:bCs w:val="0"/>
          <w:i w:val="0"/>
          <w:iCs w:val="0"/>
          <w:caps w:val="0"/>
          <w:color w:val="000000" w:themeColor="text1"/>
          <w:spacing w:val="0"/>
          <w:sz w:val="18"/>
          <w:szCs w:val="18"/>
          <w:u w:val="none"/>
          <w:shd w:val="clear" w:fill="FFFFFF"/>
          <w:lang w:val="en-US" w:eastAsia="zh-CN"/>
          <w14:textFill>
            <w14:solidFill>
              <w14:schemeClr w14:val="tx1"/>
            </w14:solidFill>
          </w14:textFill>
        </w:rPr>
      </w:pPr>
      <w:bookmarkStart w:id="6" w:name="_Ref4002"/>
      <w:r>
        <w:rPr>
          <w:rStyle w:val="7"/>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t>Learning the local landscape of protein structures with convolutional neural networks</w:t>
      </w:r>
      <w:r>
        <w:rPr>
          <w:rStyle w:val="7"/>
          <w:rFonts w:hint="default" w:ascii="Arial" w:hAnsi="Arial" w:eastAsia="宋体" w:cs="Arial"/>
          <w:b w:val="0"/>
          <w:bCs w:val="0"/>
          <w:i w:val="0"/>
          <w:iCs w:val="0"/>
          <w:caps w:val="0"/>
          <w:color w:val="000000" w:themeColor="text1"/>
          <w:spacing w:val="0"/>
          <w:sz w:val="18"/>
          <w:szCs w:val="18"/>
          <w:u w:val="none"/>
          <w:shd w:val="clear" w:fill="FFFFFF"/>
          <w:lang w:val="en-US" w:eastAsia="zh-CN"/>
          <w14:textFill>
            <w14:solidFill>
              <w14:schemeClr w14:val="tx1"/>
            </w14:solidFill>
          </w14:textFill>
        </w:rPr>
        <w:t xml:space="preserve">. </w: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t>Anastasiya V. Kulikova, Daniel J. Diaz, James M. Loy, Andrew D. Ellington &amp; Claus O. Wilke</w:t>
      </w:r>
      <w:r>
        <w:rPr>
          <w:rFonts w:hint="default" w:ascii="Arial" w:hAnsi="Arial" w:eastAsia="宋体" w:cs="Arial"/>
          <w:b w:val="0"/>
          <w:bCs w:val="0"/>
          <w:i w:val="0"/>
          <w:iCs w:val="0"/>
          <w:caps w:val="0"/>
          <w:color w:val="000000" w:themeColor="text1"/>
          <w:spacing w:val="0"/>
          <w:sz w:val="18"/>
          <w:szCs w:val="18"/>
          <w:u w:val="none"/>
          <w:shd w:val="clear" w:fill="FFFFFF"/>
          <w:lang w:val="en-US" w:eastAsia="zh-CN"/>
          <w14:textFill>
            <w14:solidFill>
              <w14:schemeClr w14:val="tx1"/>
            </w14:solidFill>
          </w14:textFill>
        </w:rPr>
        <w:t xml:space="preserve">. </w: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fldChar w:fldCharType="begin"/>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instrText xml:space="preserve"> HYPERLINK "https://link.springer.com/article/10.1007/s10867-021-09593-6" </w:instrTex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fldChar w:fldCharType="separate"/>
      </w:r>
      <w:r>
        <w:rPr>
          <w:rStyle w:val="9"/>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t>Journal of Biological Physics 47.4 (2021)</w:t>
      </w:r>
      <w:r>
        <w:rPr>
          <w:rFonts w:hint="default" w:ascii="Arial" w:hAnsi="Arial" w:eastAsia="Segoe UI" w:cs="Arial"/>
          <w:b w:val="0"/>
          <w:bCs w:val="0"/>
          <w:i w:val="0"/>
          <w:iCs w:val="0"/>
          <w:caps w:val="0"/>
          <w:color w:val="000000" w:themeColor="text1"/>
          <w:spacing w:val="0"/>
          <w:sz w:val="18"/>
          <w:szCs w:val="18"/>
          <w:u w:val="none"/>
          <w:shd w:val="clear" w:fill="FFFFFF"/>
          <w14:textFill>
            <w14:solidFill>
              <w14:schemeClr w14:val="tx1"/>
            </w14:solidFill>
          </w14:textFill>
        </w:rPr>
        <w:fldChar w:fldCharType="end"/>
      </w:r>
      <w:bookmarkEnd w:id="6"/>
    </w:p>
    <w:p w14:paraId="237C0860">
      <w:pPr>
        <w:numPr>
          <w:ilvl w:val="0"/>
          <w:numId w:val="0"/>
        </w:numPr>
        <w:ind w:leftChars="0"/>
        <w:rPr>
          <w:rFonts w:hint="default" w:ascii="Arial" w:hAnsi="Arial" w:eastAsia="宋体" w:cs="Arial"/>
          <w:i w:val="0"/>
          <w:iCs w:val="0"/>
          <w:caps w:val="0"/>
          <w:color w:val="000000" w:themeColor="text1"/>
          <w:spacing w:val="0"/>
          <w:sz w:val="18"/>
          <w:szCs w:val="18"/>
          <w:shd w:val="clear" w:fill="FFFFFF"/>
          <w:lang w:val="en-US" w:eastAsia="zh-CN"/>
          <w14:textFill>
            <w14:solidFill>
              <w14:schemeClr w14:val="tx1"/>
            </w14:solidFill>
          </w14:textFill>
        </w:rPr>
      </w:pPr>
    </w:p>
    <w:p w14:paraId="0467B94B">
      <w:pPr>
        <w:numPr>
          <w:ilvl w:val="0"/>
          <w:numId w:val="0"/>
        </w:numPr>
        <w:ind w:leftChars="0"/>
        <w:rPr>
          <w:rFonts w:hint="default" w:ascii="Arial" w:hAnsi="Arial" w:eastAsia="宋体" w:cs="Arial"/>
          <w:i w:val="0"/>
          <w:iCs w:val="0"/>
          <w:caps w:val="0"/>
          <w:color w:val="000000" w:themeColor="text1"/>
          <w:spacing w:val="0"/>
          <w:sz w:val="18"/>
          <w:szCs w:val="18"/>
          <w:shd w:val="clear" w:fill="FFFFFF"/>
          <w:lang w:val="en-US" w:eastAsia="zh-CN"/>
          <w14:textFill>
            <w14:solidFill>
              <w14:schemeClr w14:val="tx1"/>
            </w14:solidFill>
          </w14:textFill>
        </w:rPr>
      </w:pPr>
    </w:p>
    <w:p w14:paraId="1B3D9DF8">
      <w:pPr>
        <w:numPr>
          <w:ilvl w:val="0"/>
          <w:numId w:val="0"/>
        </w:numPr>
        <w:ind w:leftChars="0"/>
        <w:rPr>
          <w:rFonts w:hint="default" w:ascii="Arial" w:hAnsi="Arial" w:eastAsia="宋体" w:cs="Arial"/>
          <w:i w:val="0"/>
          <w:iCs w:val="0"/>
          <w:caps w:val="0"/>
          <w:color w:val="000000" w:themeColor="text1"/>
          <w:spacing w:val="0"/>
          <w:sz w:val="18"/>
          <w:szCs w:val="18"/>
          <w:shd w:val="clear" w:fill="FFFFFF"/>
          <w:lang w:val="en-US" w:eastAsia="zh-CN"/>
          <w14:textFill>
            <w14:solidFill>
              <w14:schemeClr w14:val="tx1"/>
            </w14:solidFill>
          </w14:textFill>
        </w:rPr>
      </w:pPr>
    </w:p>
    <w:p w14:paraId="613B0A0B">
      <w:pPr>
        <w:numPr>
          <w:ilvl w:val="0"/>
          <w:numId w:val="0"/>
        </w:numPr>
        <w:ind w:leftChars="0"/>
        <w:rPr>
          <w:rFonts w:hint="default" w:ascii="Arial" w:hAnsi="Arial" w:eastAsia="宋体" w:cs="Arial"/>
          <w:i w:val="0"/>
          <w:iCs w:val="0"/>
          <w:caps w:val="0"/>
          <w:color w:val="000000" w:themeColor="text1"/>
          <w:spacing w:val="0"/>
          <w:sz w:val="18"/>
          <w:szCs w:val="18"/>
          <w:shd w:val="clear" w:fill="FFFFFF"/>
          <w:lang w:val="en-US" w:eastAsia="zh-CN"/>
          <w14:textFill>
            <w14:solidFill>
              <w14:schemeClr w14:val="tx1"/>
            </w14:solidFill>
          </w14:textFill>
        </w:rPr>
      </w:pPr>
    </w:p>
    <w:p w14:paraId="0C11AFAB">
      <w:pPr>
        <w:numPr>
          <w:ilvl w:val="0"/>
          <w:numId w:val="0"/>
        </w:numPr>
        <w:ind w:leftChars="0"/>
        <w:rPr>
          <w:rFonts w:hint="default" w:ascii="Arial" w:hAnsi="Arial" w:eastAsia="宋体" w:cs="Arial"/>
          <w:i w:val="0"/>
          <w:iCs w:val="0"/>
          <w:caps w:val="0"/>
          <w:color w:val="000000" w:themeColor="text1"/>
          <w:spacing w:val="0"/>
          <w:sz w:val="18"/>
          <w:szCs w:val="18"/>
          <w:shd w:val="clear" w:fill="FFFFFF"/>
          <w:lang w:val="en-US" w:eastAsia="zh-CN"/>
          <w14:textFill>
            <w14:solidFill>
              <w14:schemeClr w14:val="tx1"/>
            </w14:solidFill>
          </w14:textFill>
        </w:rPr>
      </w:pPr>
    </w:p>
    <w:p w14:paraId="03FCBABD">
      <w:pPr>
        <w:ind w:firstLine="420" w:firstLineChars="0"/>
        <w:rPr>
          <w:rFonts w:hint="eastAsia" w:ascii="宋体" w:hAnsi="宋体" w:eastAsia="宋体" w:cs="宋体"/>
          <w:i w:val="0"/>
          <w:iCs w:val="0"/>
          <w:caps w:val="0"/>
          <w:color w:val="2C2C36"/>
          <w:spacing w:val="1"/>
          <w:sz w:val="21"/>
          <w:szCs w:val="21"/>
          <w:shd w:val="clear" w:fill="FFFFFF"/>
          <w:lang w:val="en-US" w:eastAsia="zh-CN"/>
        </w:rPr>
      </w:pPr>
      <w:r>
        <w:rPr>
          <w:rFonts w:hint="eastAsia" w:ascii="宋体" w:hAnsi="宋体" w:eastAsia="宋体" w:cs="宋体"/>
          <w:i w:val="0"/>
          <w:iCs w:val="0"/>
          <w:caps w:val="0"/>
          <w:color w:val="2C2C36"/>
          <w:spacing w:val="1"/>
          <w:sz w:val="21"/>
          <w:szCs w:val="21"/>
          <w:shd w:val="clear" w:fill="FFFFFF"/>
        </w:rPr>
        <w:t>多年来，预测由单点突变引起的蛋白质稳定性变化一直是一个难题，吸引了众多研究人员的兴趣。</w:t>
      </w:r>
      <w:r>
        <w:rPr>
          <w:rFonts w:hint="eastAsia" w:ascii="宋体" w:hAnsi="宋体" w:eastAsia="宋体" w:cs="宋体"/>
          <w:i w:val="0"/>
          <w:iCs w:val="0"/>
          <w:caps w:val="0"/>
          <w:color w:val="222222"/>
          <w:spacing w:val="0"/>
          <w:sz w:val="21"/>
          <w:szCs w:val="21"/>
          <w:shd w:val="clear" w:fill="FFFFFF"/>
          <w:lang w:val="en-US" w:eastAsia="zh-CN"/>
        </w:rPr>
        <w:t>蛋白质稳定性极易收到外界环境和基因突变的扰动，即使是微小的扰动，如单点突变，也可以使得活性蛋白走向无功能、错误折叠或者聚合的形式。</w:t>
      </w:r>
      <w:r>
        <w:rPr>
          <w:rFonts w:hint="eastAsia" w:ascii="宋体" w:hAnsi="宋体" w:eastAsia="宋体" w:cs="宋体"/>
          <w:i w:val="0"/>
          <w:iCs w:val="0"/>
          <w:caps w:val="0"/>
          <w:color w:val="2C2C36"/>
          <w:spacing w:val="1"/>
          <w:sz w:val="21"/>
          <w:szCs w:val="21"/>
          <w:shd w:val="clear" w:fill="FFFFFF"/>
        </w:rPr>
        <w:t>准确预测蛋白质热稳定性对于药物开发、蛋白质进化分析和酶合成等生物化学领域的应用至关重要。</w:t>
      </w:r>
    </w:p>
    <w:p w14:paraId="6B39068A">
      <w:pPr>
        <w:numPr>
          <w:ilvl w:val="0"/>
          <w:numId w:val="0"/>
        </w:numPr>
        <w:ind w:leftChars="0" w:firstLine="420" w:firstLineChars="0"/>
        <w:rPr>
          <w:rFonts w:hint="eastAsia" w:ascii="宋体" w:hAnsi="宋体" w:eastAsia="宋体" w:cs="宋体"/>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1"/>
          <w:szCs w:val="21"/>
          <w:shd w:val="clear" w:fill="FFFFFF"/>
          <w:lang w:val="en-US" w:eastAsia="zh-CN"/>
          <w14:textFill>
            <w14:solidFill>
              <w14:schemeClr w14:val="tx1"/>
            </w14:solidFill>
          </w14:textFill>
        </w:rPr>
        <w:t>由于蛋白质分子成的任何变化都可以被视作化学反应，因此热稳定性可以被视作突变发生的趋势，通常表示为一对野生和突变蛋白的吉布斯自由能之差</w:t>
      </w:r>
      <w:r>
        <w:rPr>
          <w:rFonts w:hint="eastAsia" w:ascii="宋体" w:hAnsi="宋体" w:eastAsia="宋体" w:cs="宋体"/>
          <w:i w:val="0"/>
          <w:iCs w:val="0"/>
          <w:caps w:val="0"/>
          <w:color w:val="000000" w:themeColor="text1"/>
          <w:spacing w:val="0"/>
          <w:sz w:val="21"/>
          <w:szCs w:val="21"/>
          <w:shd w:val="clear" w:fill="FFFFFF"/>
          <w:vertAlign w:val="superscript"/>
          <w:lang w:val="en-US" w:eastAsia="zh-CN"/>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1"/>
          <w:szCs w:val="21"/>
          <w:shd w:val="clear" w:fill="FFFFFF"/>
          <w:vertAlign w:val="superscript"/>
          <w:lang w:val="en-US" w:eastAsia="zh-CN"/>
          <w14:textFill>
            <w14:solidFill>
              <w14:schemeClr w14:val="tx1"/>
            </w14:solidFill>
          </w14:textFill>
        </w:rPr>
        <w:instrText xml:space="preserve"> REF _Ref28411 \r \h </w:instrText>
      </w:r>
      <w:r>
        <w:rPr>
          <w:rFonts w:hint="eastAsia" w:ascii="宋体" w:hAnsi="宋体" w:eastAsia="宋体" w:cs="宋体"/>
          <w:i w:val="0"/>
          <w:iCs w:val="0"/>
          <w:caps w:val="0"/>
          <w:color w:val="000000" w:themeColor="text1"/>
          <w:spacing w:val="0"/>
          <w:sz w:val="21"/>
          <w:szCs w:val="21"/>
          <w:shd w:val="clear" w:fill="FFFFFF"/>
          <w:vertAlign w:val="superscript"/>
          <w:lang w:val="en-US" w:eastAsia="zh-CN"/>
          <w14:textFill>
            <w14:solidFill>
              <w14:schemeClr w14:val="tx1"/>
            </w14:solidFill>
          </w14:textFill>
        </w:rPr>
        <w:fldChar w:fldCharType="separate"/>
      </w:r>
      <w:r>
        <w:rPr>
          <w:rFonts w:hint="eastAsia" w:ascii="宋体" w:hAnsi="宋体" w:eastAsia="宋体" w:cs="宋体"/>
          <w:i w:val="0"/>
          <w:iCs w:val="0"/>
          <w:caps w:val="0"/>
          <w:color w:val="000000" w:themeColor="text1"/>
          <w:spacing w:val="0"/>
          <w:sz w:val="21"/>
          <w:szCs w:val="21"/>
          <w:shd w:val="clear" w:fill="FFFFFF"/>
          <w:vertAlign w:val="superscript"/>
          <w:lang w:val="en-US" w:eastAsia="zh-CN"/>
          <w14:textFill>
            <w14:solidFill>
              <w14:schemeClr w14:val="tx1"/>
            </w14:solidFill>
          </w14:textFill>
        </w:rPr>
        <w:t>[1]</w:t>
      </w:r>
      <w:r>
        <w:rPr>
          <w:rFonts w:hint="eastAsia" w:ascii="宋体" w:hAnsi="宋体" w:eastAsia="宋体" w:cs="宋体"/>
          <w:i w:val="0"/>
          <w:iCs w:val="0"/>
          <w:caps w:val="0"/>
          <w:color w:val="000000" w:themeColor="text1"/>
          <w:spacing w:val="0"/>
          <w:sz w:val="21"/>
          <w:szCs w:val="21"/>
          <w:shd w:val="clear" w:fill="FFFFFF"/>
          <w:vertAlign w:val="superscript"/>
          <w:lang w:val="en-US" w:eastAsia="zh-CN"/>
          <w14:textFill>
            <w14:solidFill>
              <w14:schemeClr w14:val="tx1"/>
            </w14:solidFill>
          </w14:textFill>
        </w:rPr>
        <w:fldChar w:fldCharType="end"/>
      </w:r>
      <w:r>
        <w:rPr>
          <w:rFonts w:hint="eastAsia" w:ascii="宋体" w:hAnsi="宋体" w:eastAsia="宋体" w:cs="宋体"/>
          <w:i w:val="0"/>
          <w:iCs w:val="0"/>
          <w:caps w:val="0"/>
          <w:color w:val="000000" w:themeColor="text1"/>
          <w:spacing w:val="0"/>
          <w:sz w:val="21"/>
          <w:szCs w:val="21"/>
          <w:shd w:val="clear" w:fill="FFFFFF"/>
          <w:lang w:val="en-US" w:eastAsia="zh-CN"/>
          <w14:textFill>
            <w14:solidFill>
              <w14:schemeClr w14:val="tx1"/>
            </w14:solidFill>
          </w14:textFill>
        </w:rPr>
        <w:t>：</w:t>
      </w:r>
    </w:p>
    <w:p w14:paraId="51B38EF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1" w:lineRule="atLeast"/>
        <w:ind w:left="0" w:right="0" w:firstLine="0"/>
        <w:jc w:val="center"/>
        <w:rPr>
          <w:rStyle w:val="10"/>
          <w:rFonts w:hint="eastAsia" w:ascii="宋体" w:hAnsi="宋体" w:eastAsia="宋体" w:cs="宋体"/>
          <w:i w:val="0"/>
          <w:iCs w:val="0"/>
          <w:caps w:val="0"/>
          <w:color w:val="000000"/>
          <w:spacing w:val="1"/>
          <w:sz w:val="21"/>
          <w:szCs w:val="21"/>
        </w:rPr>
      </w:pPr>
      <w:r>
        <w:rPr>
          <w:rStyle w:val="10"/>
          <w:rFonts w:hint="eastAsia" w:ascii="宋体" w:hAnsi="宋体" w:eastAsia="宋体" w:cs="宋体"/>
          <w:i w:val="0"/>
          <w:iCs w:val="0"/>
          <w:caps w:val="0"/>
          <w:color w:val="000000"/>
          <w:spacing w:val="1"/>
          <w:sz w:val="21"/>
          <w:szCs w:val="21"/>
        </w:rPr>
        <w:t>\Delta\Delta G = \Delta G_{\text{M}} - \Delta G_{\text{W}}</w:t>
      </w:r>
    </w:p>
    <w:p w14:paraId="0E8D452E">
      <w:pPr>
        <w:rPr>
          <w:rFonts w:hint="eastAsia" w:ascii="宋体" w:hAnsi="宋体" w:eastAsia="宋体" w:cs="宋体"/>
          <w:i w:val="0"/>
          <w:iCs w:val="0"/>
          <w:caps w:val="0"/>
          <w:color w:val="222222"/>
          <w:spacing w:val="0"/>
          <w:sz w:val="21"/>
          <w:szCs w:val="21"/>
          <w:shd w:val="clear" w:fill="FFFFFF"/>
          <w:lang w:val="en-US" w:eastAsia="zh-CN"/>
        </w:rPr>
      </w:pPr>
      <w:r>
        <w:rPr>
          <w:rStyle w:val="10"/>
          <w:rFonts w:hint="eastAsia" w:ascii="宋体" w:hAnsi="宋体" w:eastAsia="宋体" w:cs="宋体"/>
          <w:i w:val="0"/>
          <w:iCs w:val="0"/>
          <w:caps w:val="0"/>
          <w:color w:val="000000"/>
          <w:spacing w:val="1"/>
          <w:sz w:val="21"/>
          <w:szCs w:val="21"/>
          <w:lang w:val="en-US" w:eastAsia="zh-CN"/>
        </w:rPr>
        <w:t>其中M表示突变型，W表示野生型，</w:t>
      </w:r>
      <w:r>
        <w:rPr>
          <w:rFonts w:hint="eastAsia" w:ascii="宋体" w:hAnsi="宋体" w:eastAsia="宋体" w:cs="宋体"/>
          <w:i w:val="0"/>
          <w:iCs w:val="0"/>
          <w:caps w:val="0"/>
          <w:color w:val="222222"/>
          <w:spacing w:val="0"/>
          <w:sz w:val="21"/>
          <w:szCs w:val="21"/>
          <w:shd w:val="clear" w:fill="FFFFFF"/>
          <w:lang w:val="en-US" w:eastAsia="zh-CN"/>
        </w:rPr>
        <w:t>较高的</w:t>
      </w:r>
      <w:r>
        <w:rPr>
          <w:rStyle w:val="10"/>
          <w:rFonts w:hint="eastAsia" w:ascii="宋体" w:hAnsi="宋体" w:eastAsia="宋体" w:cs="宋体"/>
          <w:i w:val="0"/>
          <w:iCs w:val="0"/>
          <w:caps w:val="0"/>
          <w:color w:val="000000"/>
          <w:spacing w:val="1"/>
          <w:sz w:val="21"/>
          <w:szCs w:val="21"/>
        </w:rPr>
        <w:t>\Delta\Delta G</w:t>
      </w:r>
      <w:r>
        <w:rPr>
          <w:rFonts w:hint="eastAsia" w:ascii="宋体" w:hAnsi="宋体" w:eastAsia="宋体" w:cs="宋体"/>
          <w:i w:val="0"/>
          <w:iCs w:val="0"/>
          <w:caps w:val="0"/>
          <w:color w:val="222222"/>
          <w:spacing w:val="0"/>
          <w:sz w:val="21"/>
          <w:szCs w:val="21"/>
          <w:shd w:val="clear" w:fill="FFFFFF"/>
          <w:lang w:val="en-US" w:eastAsia="zh-CN"/>
        </w:rPr>
        <w:t>意味着更高的热稳定性</w:t>
      </w:r>
      <w:r>
        <w:rPr>
          <w:rFonts w:hint="eastAsia" w:ascii="宋体" w:hAnsi="宋体" w:eastAsia="宋体" w:cs="宋体"/>
          <w:i w:val="0"/>
          <w:iCs w:val="0"/>
          <w:caps w:val="0"/>
          <w:color w:val="222222"/>
          <w:spacing w:val="0"/>
          <w:sz w:val="21"/>
          <w:szCs w:val="21"/>
          <w:shd w:val="clear" w:fill="FFFFFF"/>
          <w:vertAlign w:val="superscript"/>
          <w:lang w:val="en-US" w:eastAsia="zh-CN"/>
        </w:rPr>
        <w:fldChar w:fldCharType="begin"/>
      </w:r>
      <w:r>
        <w:rPr>
          <w:rFonts w:hint="eastAsia" w:ascii="宋体" w:hAnsi="宋体" w:eastAsia="宋体" w:cs="宋体"/>
          <w:i w:val="0"/>
          <w:iCs w:val="0"/>
          <w:caps w:val="0"/>
          <w:color w:val="222222"/>
          <w:spacing w:val="0"/>
          <w:sz w:val="21"/>
          <w:szCs w:val="21"/>
          <w:shd w:val="clear" w:fill="FFFFFF"/>
          <w:vertAlign w:val="superscript"/>
          <w:lang w:val="en-US" w:eastAsia="zh-CN"/>
        </w:rPr>
        <w:instrText xml:space="preserve"> REF _Ref28966 \r \h </w:instrText>
      </w:r>
      <w:r>
        <w:rPr>
          <w:rFonts w:hint="eastAsia" w:ascii="宋体" w:hAnsi="宋体" w:eastAsia="宋体" w:cs="宋体"/>
          <w:i w:val="0"/>
          <w:iCs w:val="0"/>
          <w:caps w:val="0"/>
          <w:color w:val="222222"/>
          <w:spacing w:val="0"/>
          <w:sz w:val="21"/>
          <w:szCs w:val="21"/>
          <w:shd w:val="clear" w:fill="FFFFFF"/>
          <w:vertAlign w:val="superscript"/>
          <w:lang w:val="en-US" w:eastAsia="zh-CN"/>
        </w:rPr>
        <w:fldChar w:fldCharType="separate"/>
      </w:r>
      <w:r>
        <w:rPr>
          <w:rFonts w:hint="eastAsia" w:ascii="宋体" w:hAnsi="宋体" w:eastAsia="宋体" w:cs="宋体"/>
          <w:i w:val="0"/>
          <w:iCs w:val="0"/>
          <w:caps w:val="0"/>
          <w:color w:val="222222"/>
          <w:spacing w:val="0"/>
          <w:sz w:val="21"/>
          <w:szCs w:val="21"/>
          <w:shd w:val="clear" w:fill="FFFFFF"/>
          <w:vertAlign w:val="superscript"/>
          <w:lang w:val="en-US" w:eastAsia="zh-CN"/>
        </w:rPr>
        <w:t>[2]</w:t>
      </w:r>
      <w:r>
        <w:rPr>
          <w:rFonts w:hint="eastAsia" w:ascii="宋体" w:hAnsi="宋体" w:eastAsia="宋体" w:cs="宋体"/>
          <w:i w:val="0"/>
          <w:iCs w:val="0"/>
          <w:caps w:val="0"/>
          <w:color w:val="222222"/>
          <w:spacing w:val="0"/>
          <w:sz w:val="21"/>
          <w:szCs w:val="21"/>
          <w:shd w:val="clear" w:fill="FFFFFF"/>
          <w:vertAlign w:val="superscript"/>
          <w:lang w:val="en-US" w:eastAsia="zh-CN"/>
        </w:rPr>
        <w:fldChar w:fldCharType="end"/>
      </w:r>
      <w:r>
        <w:rPr>
          <w:rFonts w:hint="eastAsia" w:ascii="宋体" w:hAnsi="宋体" w:eastAsia="宋体" w:cs="宋体"/>
          <w:i w:val="0"/>
          <w:iCs w:val="0"/>
          <w:caps w:val="0"/>
          <w:color w:val="222222"/>
          <w:spacing w:val="0"/>
          <w:sz w:val="21"/>
          <w:szCs w:val="21"/>
          <w:shd w:val="clear" w:fill="FFFFFF"/>
          <w:lang w:val="en-US" w:eastAsia="zh-CN"/>
        </w:rPr>
        <w:t>。</w:t>
      </w:r>
    </w:p>
    <w:p w14:paraId="79E2367F">
      <w:pPr>
        <w:ind w:firstLine="420" w:firstLineChars="0"/>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本文下面介绍一个自监督模型Pythia</w:t>
      </w:r>
      <w:r>
        <w:rPr>
          <w:rFonts w:hint="eastAsia" w:ascii="宋体" w:hAnsi="宋体" w:eastAsia="宋体" w:cs="宋体"/>
          <w:i w:val="0"/>
          <w:iCs w:val="0"/>
          <w:caps w:val="0"/>
          <w:color w:val="222222"/>
          <w:spacing w:val="0"/>
          <w:sz w:val="21"/>
          <w:szCs w:val="21"/>
          <w:shd w:val="clear" w:fill="FFFFFF"/>
          <w:vertAlign w:val="superscript"/>
          <w:lang w:val="en-US" w:eastAsia="zh-CN"/>
        </w:rPr>
        <w:fldChar w:fldCharType="begin"/>
      </w:r>
      <w:r>
        <w:rPr>
          <w:rFonts w:hint="eastAsia" w:ascii="宋体" w:hAnsi="宋体" w:eastAsia="宋体" w:cs="宋体"/>
          <w:i w:val="0"/>
          <w:iCs w:val="0"/>
          <w:caps w:val="0"/>
          <w:color w:val="222222"/>
          <w:spacing w:val="0"/>
          <w:sz w:val="21"/>
          <w:szCs w:val="21"/>
          <w:shd w:val="clear" w:fill="FFFFFF"/>
          <w:vertAlign w:val="superscript"/>
          <w:lang w:val="en-US" w:eastAsia="zh-CN"/>
        </w:rPr>
        <w:instrText xml:space="preserve"> REF _Ref31872 \r \h </w:instrText>
      </w:r>
      <w:r>
        <w:rPr>
          <w:rFonts w:hint="eastAsia" w:ascii="宋体" w:hAnsi="宋体" w:eastAsia="宋体" w:cs="宋体"/>
          <w:i w:val="0"/>
          <w:iCs w:val="0"/>
          <w:caps w:val="0"/>
          <w:color w:val="222222"/>
          <w:spacing w:val="0"/>
          <w:sz w:val="21"/>
          <w:szCs w:val="21"/>
          <w:shd w:val="clear" w:fill="FFFFFF"/>
          <w:vertAlign w:val="superscript"/>
          <w:lang w:val="en-US" w:eastAsia="zh-CN"/>
        </w:rPr>
        <w:fldChar w:fldCharType="separate"/>
      </w:r>
      <w:r>
        <w:rPr>
          <w:rFonts w:hint="eastAsia" w:ascii="宋体" w:hAnsi="宋体" w:eastAsia="宋体" w:cs="宋体"/>
          <w:i w:val="0"/>
          <w:iCs w:val="0"/>
          <w:caps w:val="0"/>
          <w:color w:val="222222"/>
          <w:spacing w:val="0"/>
          <w:sz w:val="21"/>
          <w:szCs w:val="21"/>
          <w:shd w:val="clear" w:fill="FFFFFF"/>
          <w:vertAlign w:val="superscript"/>
          <w:lang w:val="en-US" w:eastAsia="zh-CN"/>
        </w:rPr>
        <w:t>[3]</w:t>
      </w:r>
      <w:r>
        <w:rPr>
          <w:rFonts w:hint="eastAsia" w:ascii="宋体" w:hAnsi="宋体" w:eastAsia="宋体" w:cs="宋体"/>
          <w:i w:val="0"/>
          <w:iCs w:val="0"/>
          <w:caps w:val="0"/>
          <w:color w:val="222222"/>
          <w:spacing w:val="0"/>
          <w:sz w:val="21"/>
          <w:szCs w:val="21"/>
          <w:shd w:val="clear" w:fill="FFFFFF"/>
          <w:vertAlign w:val="superscript"/>
          <w:lang w:val="en-US" w:eastAsia="zh-CN"/>
        </w:rPr>
        <w:fldChar w:fldCharType="end"/>
      </w:r>
      <w:r>
        <w:rPr>
          <w:rFonts w:hint="eastAsia" w:ascii="宋体" w:hAnsi="宋体" w:eastAsia="宋体" w:cs="宋体"/>
          <w:i w:val="0"/>
          <w:iCs w:val="0"/>
          <w:caps w:val="0"/>
          <w:color w:val="222222"/>
          <w:spacing w:val="0"/>
          <w:sz w:val="21"/>
          <w:szCs w:val="21"/>
          <w:shd w:val="clear" w:fill="FFFFFF"/>
          <w:lang w:val="en-US" w:eastAsia="zh-CN"/>
        </w:rPr>
        <w:t>，它可以用于零样本预测蛋白质突变后的自由能变化。</w:t>
      </w:r>
    </w:p>
    <w:p w14:paraId="7B3A5735">
      <w:pPr>
        <w:rPr>
          <w:rFonts w:hint="eastAsia" w:ascii="宋体" w:hAnsi="宋体" w:eastAsia="宋体" w:cs="宋体"/>
          <w:i w:val="0"/>
          <w:iCs w:val="0"/>
          <w:caps w:val="0"/>
          <w:color w:val="222222"/>
          <w:spacing w:val="0"/>
          <w:sz w:val="21"/>
          <w:szCs w:val="21"/>
          <w:shd w:val="clear" w:fill="FFFFFF"/>
          <w:lang w:val="en-US" w:eastAsia="zh-CN"/>
        </w:rPr>
      </w:pPr>
    </w:p>
    <w:p w14:paraId="0213CE74">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2.1 模型基本原理</w:t>
      </w:r>
    </w:p>
    <w:p w14:paraId="761AD11C">
      <w:pPr>
        <w:ind w:firstLine="420" w:firstLineChars="0"/>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在假设蛋白质在未折叠状态下的能量在很大程度上不受突变影响的前提下，通过公式推导，我们可以得到自由能变化与野生型、突变型蛋白质氨基酸在所有Rotamer构象中的概率之和的正比关系：</w:t>
      </w:r>
    </w:p>
    <w:p w14:paraId="2E775BE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1" w:lineRule="atLeast"/>
        <w:ind w:left="0" w:right="0" w:firstLine="0"/>
        <w:jc w:val="center"/>
        <w:rPr>
          <w:rStyle w:val="10"/>
          <w:rFonts w:hint="eastAsia" w:ascii="宋体" w:hAnsi="宋体" w:eastAsia="宋体" w:cs="宋体"/>
          <w:i w:val="0"/>
          <w:iCs w:val="0"/>
          <w:caps w:val="0"/>
          <w:color w:val="000000"/>
          <w:spacing w:val="1"/>
          <w:sz w:val="21"/>
          <w:szCs w:val="21"/>
        </w:rPr>
      </w:pPr>
      <w:r>
        <w:rPr>
          <w:rStyle w:val="10"/>
          <w:rFonts w:hint="eastAsia" w:ascii="宋体" w:hAnsi="宋体" w:eastAsia="宋体" w:cs="宋体"/>
          <w:i w:val="0"/>
          <w:iCs w:val="0"/>
          <w:caps w:val="0"/>
          <w:color w:val="000000"/>
          <w:spacing w:val="1"/>
          <w:sz w:val="21"/>
          <w:szCs w:val="21"/>
        </w:rPr>
        <w:t>\Delta\Delta G \propto -\ln \frac{P_{\text{MUT}}}{P_{\text{WT}}</w:t>
      </w:r>
    </w:p>
    <w:p w14:paraId="63C9011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1" w:lineRule="atLeast"/>
        <w:ind w:right="0" w:firstLine="424" w:firstLineChars="200"/>
        <w:jc w:val="both"/>
        <w:rPr>
          <w:rStyle w:val="10"/>
          <w:rFonts w:hint="eastAsia" w:ascii="宋体" w:hAnsi="宋体" w:eastAsia="宋体" w:cs="宋体"/>
          <w:i w:val="0"/>
          <w:iCs w:val="0"/>
          <w:caps w:val="0"/>
          <w:color w:val="000000"/>
          <w:spacing w:val="1"/>
          <w:sz w:val="21"/>
          <w:szCs w:val="21"/>
          <w:lang w:val="en-US" w:eastAsia="zh-CN"/>
        </w:rPr>
      </w:pPr>
    </w:p>
    <w:p w14:paraId="7EA62B9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1" w:lineRule="atLeast"/>
        <w:ind w:left="0" w:right="0" w:firstLine="424" w:firstLineChars="200"/>
        <w:jc w:val="both"/>
        <w:rPr>
          <w:rFonts w:hint="eastAsia" w:ascii="宋体" w:hAnsi="宋体" w:eastAsia="宋体" w:cs="宋体"/>
          <w:i w:val="0"/>
          <w:iCs w:val="0"/>
          <w:caps w:val="0"/>
          <w:color w:val="2C2C36"/>
          <w:spacing w:val="1"/>
          <w:sz w:val="21"/>
          <w:szCs w:val="21"/>
          <w:shd w:val="clear" w:fill="FFFFFF"/>
        </w:rPr>
      </w:pPr>
      <w:r>
        <w:rPr>
          <w:rStyle w:val="10"/>
          <w:rFonts w:hint="eastAsia" w:ascii="宋体" w:hAnsi="宋体" w:eastAsia="宋体" w:cs="宋体"/>
          <w:i w:val="0"/>
          <w:iCs w:val="0"/>
          <w:caps w:val="0"/>
          <w:color w:val="000000"/>
          <w:spacing w:val="1"/>
          <w:sz w:val="21"/>
          <w:szCs w:val="21"/>
          <w:lang w:val="en-US" w:eastAsia="zh-CN"/>
        </w:rPr>
        <w:t>基于以上结果，Sun的团队使用一种图神经网络架构，</w:t>
      </w:r>
      <w:r>
        <w:rPr>
          <w:rFonts w:hint="eastAsia" w:ascii="宋体" w:hAnsi="宋体" w:eastAsia="宋体" w:cs="宋体"/>
          <w:i w:val="0"/>
          <w:iCs w:val="0"/>
          <w:caps w:val="0"/>
          <w:color w:val="2C2C36"/>
          <w:spacing w:val="1"/>
          <w:sz w:val="21"/>
          <w:szCs w:val="21"/>
          <w:shd w:val="clear" w:fill="FFFFFF"/>
        </w:rPr>
        <w:t>以蛋白质的局部结构作为输入，该结构被表示为一个k近邻图（k-NN graph），节点代表氨基酸残基，边则根据Cα原子之间的欧几里得距离来定义。每个节点的特征包括氨基酸类型以及三个二面角（φ, ψ, ω）</w:t>
      </w:r>
      <w:r>
        <w:rPr>
          <w:rFonts w:hint="eastAsia" w:ascii="宋体" w:hAnsi="宋体" w:eastAsia="宋体" w:cs="宋体"/>
          <w:i w:val="0"/>
          <w:iCs w:val="0"/>
          <w:caps w:val="0"/>
          <w:color w:val="2C2C36"/>
          <w:spacing w:val="1"/>
          <w:sz w:val="21"/>
          <w:szCs w:val="21"/>
          <w:shd w:val="clear" w:fill="FFFFFF"/>
          <w:lang w:val="en-US" w:eastAsia="zh-CN"/>
        </w:rPr>
        <w:t>,</w:t>
      </w:r>
      <w:r>
        <w:rPr>
          <w:rFonts w:hint="eastAsia" w:ascii="宋体" w:hAnsi="宋体" w:eastAsia="宋体" w:cs="宋体"/>
          <w:i w:val="0"/>
          <w:iCs w:val="0"/>
          <w:caps w:val="0"/>
          <w:color w:val="2C2C36"/>
          <w:spacing w:val="1"/>
          <w:sz w:val="21"/>
          <w:szCs w:val="21"/>
          <w:shd w:val="clear" w:fill="FFFFFF"/>
        </w:rPr>
        <w:t>边特征包含主链原子间的距离、序列位置信息及链信息。</w:t>
      </w:r>
      <w:r>
        <w:rPr>
          <w:rFonts w:hint="eastAsia" w:ascii="宋体" w:hAnsi="宋体" w:eastAsia="宋体" w:cs="宋体"/>
          <w:i w:val="0"/>
          <w:iCs w:val="0"/>
          <w:caps w:val="0"/>
          <w:color w:val="2C2C36"/>
          <w:spacing w:val="1"/>
          <w:sz w:val="21"/>
          <w:szCs w:val="21"/>
          <w:shd w:val="clear" w:fill="FFFFFF"/>
          <w:lang w:val="en-US" w:eastAsia="zh-CN"/>
        </w:rPr>
        <w:t>之后使用了消息传递神经网络（MPNN）</w:t>
      </w:r>
      <w:r>
        <w:rPr>
          <w:rFonts w:hint="eastAsia" w:ascii="宋体" w:hAnsi="宋体" w:eastAsia="宋体" w:cs="宋体"/>
          <w:i w:val="0"/>
          <w:iCs w:val="0"/>
          <w:caps w:val="0"/>
          <w:color w:val="2C2C36"/>
          <w:spacing w:val="1"/>
          <w:sz w:val="21"/>
          <w:szCs w:val="21"/>
          <w:shd w:val="clear" w:fill="FFFFFF"/>
          <w:vertAlign w:val="superscript"/>
          <w:lang w:val="en-US" w:eastAsia="zh-CN"/>
        </w:rPr>
        <w:fldChar w:fldCharType="begin"/>
      </w:r>
      <w:r>
        <w:rPr>
          <w:rFonts w:hint="eastAsia" w:ascii="宋体" w:hAnsi="宋体" w:eastAsia="宋体" w:cs="宋体"/>
          <w:i w:val="0"/>
          <w:iCs w:val="0"/>
          <w:caps w:val="0"/>
          <w:color w:val="2C2C36"/>
          <w:spacing w:val="1"/>
          <w:sz w:val="21"/>
          <w:szCs w:val="21"/>
          <w:shd w:val="clear" w:fill="FFFFFF"/>
          <w:vertAlign w:val="superscript"/>
          <w:lang w:val="en-US" w:eastAsia="zh-CN"/>
        </w:rPr>
        <w:instrText xml:space="preserve"> REF _Ref606 \r \h </w:instrText>
      </w:r>
      <w:r>
        <w:rPr>
          <w:rFonts w:hint="eastAsia" w:ascii="宋体" w:hAnsi="宋体" w:eastAsia="宋体" w:cs="宋体"/>
          <w:i w:val="0"/>
          <w:iCs w:val="0"/>
          <w:caps w:val="0"/>
          <w:color w:val="2C2C36"/>
          <w:spacing w:val="1"/>
          <w:sz w:val="21"/>
          <w:szCs w:val="21"/>
          <w:shd w:val="clear" w:fill="FFFFFF"/>
          <w:vertAlign w:val="superscript"/>
          <w:lang w:val="en-US" w:eastAsia="zh-CN"/>
        </w:rPr>
        <w:fldChar w:fldCharType="separate"/>
      </w:r>
      <w:r>
        <w:rPr>
          <w:rFonts w:hint="eastAsia" w:ascii="宋体" w:hAnsi="宋体" w:eastAsia="宋体" w:cs="宋体"/>
          <w:i w:val="0"/>
          <w:iCs w:val="0"/>
          <w:caps w:val="0"/>
          <w:color w:val="2C2C36"/>
          <w:spacing w:val="1"/>
          <w:sz w:val="21"/>
          <w:szCs w:val="21"/>
          <w:shd w:val="clear" w:fill="FFFFFF"/>
          <w:vertAlign w:val="superscript"/>
          <w:lang w:val="en-US" w:eastAsia="zh-CN"/>
        </w:rPr>
        <w:t>[4]</w:t>
      </w:r>
      <w:r>
        <w:rPr>
          <w:rFonts w:hint="eastAsia" w:ascii="宋体" w:hAnsi="宋体" w:eastAsia="宋体" w:cs="宋体"/>
          <w:i w:val="0"/>
          <w:iCs w:val="0"/>
          <w:caps w:val="0"/>
          <w:color w:val="2C2C36"/>
          <w:spacing w:val="1"/>
          <w:sz w:val="21"/>
          <w:szCs w:val="21"/>
          <w:shd w:val="clear" w:fill="FFFFFF"/>
          <w:vertAlign w:val="superscript"/>
          <w:lang w:val="en-US" w:eastAsia="zh-CN"/>
        </w:rPr>
        <w:fldChar w:fldCharType="end"/>
      </w:r>
      <w:r>
        <w:rPr>
          <w:rFonts w:hint="eastAsia" w:ascii="宋体" w:hAnsi="宋体" w:eastAsia="宋体" w:cs="宋体"/>
          <w:i w:val="0"/>
          <w:iCs w:val="0"/>
          <w:caps w:val="0"/>
          <w:color w:val="2C2C36"/>
          <w:spacing w:val="1"/>
          <w:sz w:val="21"/>
          <w:szCs w:val="21"/>
          <w:shd w:val="clear" w:fill="FFFFFF"/>
          <w:lang w:val="en-US" w:eastAsia="zh-CN"/>
        </w:rPr>
        <w:t>，使用基于注意力的消息传递和读出功能进行定制。在注意力消息传递层（AMPL）的每一层中，顶点表示使用 Attention 块进行更新，并与 edge 连接表示来获得消息表示。</w:t>
      </w:r>
      <w:r>
        <w:rPr>
          <w:rFonts w:hint="eastAsia" w:ascii="宋体" w:hAnsi="宋体" w:eastAsia="宋体" w:cs="宋体"/>
          <w:i w:val="0"/>
          <w:iCs w:val="0"/>
          <w:caps w:val="0"/>
          <w:color w:val="2C2C36"/>
          <w:spacing w:val="1"/>
          <w:sz w:val="21"/>
          <w:szCs w:val="21"/>
          <w:shd w:val="clear" w:fill="FFFFFF"/>
        </w:rPr>
        <w:t>模型的训练任务是预测中心节点正确的氨基酸类型。通过这种方式，Pythia能够解码给定蛋白质中残基之间的内在模式，从而精确地预测突变的影响。</w:t>
      </w:r>
    </w:p>
    <w:p w14:paraId="67B50DF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1" w:lineRule="atLeast"/>
        <w:ind w:right="0"/>
        <w:jc w:val="both"/>
        <w:rPr>
          <w:rFonts w:hint="eastAsia" w:ascii="宋体" w:hAnsi="宋体" w:eastAsia="宋体" w:cs="宋体"/>
          <w:i w:val="0"/>
          <w:iCs w:val="0"/>
          <w:caps w:val="0"/>
          <w:color w:val="2C2C36"/>
          <w:spacing w:val="1"/>
          <w:sz w:val="21"/>
          <w:szCs w:val="21"/>
          <w:shd w:val="clear" w:fill="FFFFFF"/>
        </w:rPr>
      </w:pPr>
    </w:p>
    <w:p w14:paraId="463A8D7D">
      <w:pPr>
        <w:rPr>
          <w:rFonts w:hint="eastAsia" w:ascii="宋体" w:hAnsi="宋体" w:eastAsia="宋体" w:cs="宋体"/>
          <w:i w:val="0"/>
          <w:iCs w:val="0"/>
          <w:caps w:val="0"/>
          <w:color w:val="2C2C36"/>
          <w:spacing w:val="1"/>
          <w:sz w:val="21"/>
          <w:szCs w:val="21"/>
          <w:shd w:val="clear" w:fill="FFFFFF"/>
          <w:lang w:val="en-US" w:eastAsia="zh-CN"/>
        </w:rPr>
      </w:pPr>
      <w:r>
        <w:rPr>
          <w:rFonts w:hint="eastAsia" w:ascii="宋体" w:hAnsi="宋体" w:eastAsia="宋体" w:cs="宋体"/>
          <w:i w:val="0"/>
          <w:iCs w:val="0"/>
          <w:caps w:val="0"/>
          <w:color w:val="2C2C36"/>
          <w:spacing w:val="1"/>
          <w:sz w:val="21"/>
          <w:szCs w:val="21"/>
          <w:shd w:val="clear" w:fill="FFFFFF"/>
          <w:lang w:val="en-US" w:eastAsia="zh-CN"/>
        </w:rPr>
        <w:t>2.2 Pythia模型的可解释性：</w:t>
      </w:r>
    </w:p>
    <w:p w14:paraId="22171A60">
      <w:pPr>
        <w:ind w:firstLine="420" w:firstLineChars="0"/>
        <w:rPr>
          <w:rFonts w:hint="eastAsia" w:ascii="宋体" w:hAnsi="宋体" w:eastAsia="宋体" w:cs="宋体"/>
          <w:i w:val="0"/>
          <w:iCs w:val="0"/>
          <w:caps w:val="0"/>
          <w:color w:val="2C2C36"/>
          <w:spacing w:val="1"/>
          <w:sz w:val="21"/>
          <w:szCs w:val="21"/>
          <w:shd w:val="clear" w:fill="FFFFFF"/>
          <w:lang w:val="en-US" w:eastAsia="zh-CN"/>
        </w:rPr>
      </w:pPr>
      <w:r>
        <w:rPr>
          <w:rFonts w:hint="eastAsia" w:ascii="宋体" w:hAnsi="宋体" w:eastAsia="宋体" w:cs="宋体"/>
          <w:i w:val="0"/>
          <w:iCs w:val="0"/>
          <w:caps w:val="0"/>
          <w:color w:val="2C2C36"/>
          <w:spacing w:val="1"/>
          <w:sz w:val="21"/>
          <w:szCs w:val="21"/>
          <w:shd w:val="clear" w:fill="FFFFFF"/>
          <w:lang w:val="en-US" w:eastAsia="zh-CN"/>
        </w:rPr>
        <w:t>由于 Pythia 采用了注意力机制，我们可以利用该模型用于研究它是否确实成功地捕获了蛋白质内复杂的交互。结果显示 Pythia 对突变对的注意力得分较高，这表明 Pythia 对突变体结构的敏感性，并且可以有效地捕捉突变残基和周围环境之间的重要关系。</w:t>
      </w:r>
    </w:p>
    <w:p w14:paraId="187A511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1" w:lineRule="atLeast"/>
        <w:ind w:right="0"/>
        <w:jc w:val="both"/>
        <w:rPr>
          <w:rFonts w:hint="eastAsia" w:ascii="宋体" w:hAnsi="宋体" w:eastAsia="宋体" w:cs="宋体"/>
          <w:i w:val="0"/>
          <w:iCs w:val="0"/>
          <w:caps w:val="0"/>
          <w:color w:val="2C2C36"/>
          <w:spacing w:val="1"/>
          <w:sz w:val="21"/>
          <w:szCs w:val="21"/>
          <w:shd w:val="clear" w:fill="FFFFFF"/>
          <w:lang w:val="en-US" w:eastAsia="zh-CN"/>
        </w:rPr>
      </w:pPr>
    </w:p>
    <w:p w14:paraId="74DACB3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1" w:lineRule="atLeast"/>
        <w:ind w:right="0" w:firstLine="424" w:firstLineChars="200"/>
        <w:jc w:val="both"/>
        <w:rPr>
          <w:rFonts w:hint="eastAsia" w:ascii="宋体" w:hAnsi="宋体" w:eastAsia="宋体" w:cs="宋体"/>
          <w:i w:val="0"/>
          <w:iCs w:val="0"/>
          <w:caps w:val="0"/>
          <w:color w:val="2C2C36"/>
          <w:spacing w:val="1"/>
          <w:sz w:val="21"/>
          <w:szCs w:val="21"/>
          <w:shd w:val="clear" w:fill="FFFFFF"/>
        </w:rPr>
      </w:pPr>
    </w:p>
    <w:p w14:paraId="4527B9F6">
      <w:pPr>
        <w:rPr>
          <w:rFonts w:hint="eastAsia" w:ascii="宋体" w:hAnsi="宋体" w:eastAsia="宋体" w:cs="宋体"/>
          <w:i w:val="0"/>
          <w:iCs w:val="0"/>
          <w:caps w:val="0"/>
          <w:color w:val="2C2C36"/>
          <w:spacing w:val="1"/>
          <w:sz w:val="21"/>
          <w:szCs w:val="21"/>
          <w:shd w:val="clear" w:fill="FFFFFF"/>
          <w:lang w:val="en-US" w:eastAsia="zh-CN"/>
        </w:rPr>
      </w:pPr>
      <w:r>
        <w:rPr>
          <w:rStyle w:val="10"/>
          <w:rFonts w:hint="eastAsia" w:ascii="宋体" w:hAnsi="宋体" w:eastAsia="宋体" w:cs="宋体"/>
          <w:i w:val="0"/>
          <w:iCs w:val="0"/>
          <w:caps w:val="0"/>
          <w:color w:val="000000"/>
          <w:spacing w:val="1"/>
          <w:sz w:val="21"/>
          <w:szCs w:val="21"/>
          <w:lang w:val="en-US" w:eastAsia="zh-CN"/>
        </w:rPr>
        <w:t>2.3</w:t>
      </w:r>
      <w:r>
        <w:rPr>
          <w:rFonts w:hint="eastAsia" w:ascii="宋体" w:hAnsi="宋体" w:eastAsia="宋体" w:cs="宋体"/>
          <w:i w:val="0"/>
          <w:iCs w:val="0"/>
          <w:caps w:val="0"/>
          <w:color w:val="2C2C36"/>
          <w:spacing w:val="1"/>
          <w:sz w:val="21"/>
          <w:szCs w:val="21"/>
          <w:shd w:val="clear" w:fill="FFFFFF"/>
          <w:lang w:val="en-US" w:eastAsia="zh-CN"/>
        </w:rPr>
        <w:t>模型评估：</w:t>
      </w:r>
    </w:p>
    <w:p w14:paraId="63C14238">
      <w:pPr>
        <w:ind w:firstLine="420" w:firstLineChars="0"/>
        <w:rPr>
          <w:rFonts w:hint="eastAsia" w:ascii="宋体" w:hAnsi="宋体" w:eastAsia="宋体" w:cs="宋体"/>
          <w:i w:val="0"/>
          <w:iCs w:val="0"/>
          <w:caps w:val="0"/>
          <w:color w:val="2C2C36"/>
          <w:spacing w:val="1"/>
          <w:sz w:val="21"/>
          <w:szCs w:val="21"/>
          <w:shd w:val="clear" w:fill="FFFFFF"/>
        </w:rPr>
      </w:pPr>
      <w:r>
        <w:rPr>
          <w:rFonts w:hint="eastAsia" w:ascii="宋体" w:hAnsi="宋体" w:eastAsia="宋体" w:cs="宋体"/>
          <w:i w:val="0"/>
          <w:iCs w:val="0"/>
          <w:caps w:val="0"/>
          <w:color w:val="2C2C36"/>
          <w:spacing w:val="1"/>
          <w:sz w:val="21"/>
          <w:szCs w:val="21"/>
          <w:shd w:val="clear" w:fill="FFFFFF"/>
        </w:rPr>
        <w:t>Pythia在预测相关性和计算速度方面都超过了现有的深度学习方法和其他传统方法</w:t>
      </w:r>
      <w:r>
        <w:rPr>
          <w:rFonts w:hint="eastAsia" w:ascii="宋体" w:hAnsi="宋体" w:eastAsia="宋体" w:cs="宋体"/>
          <w:i w:val="0"/>
          <w:iCs w:val="0"/>
          <w:caps w:val="0"/>
          <w:color w:val="2C2C36"/>
          <w:spacing w:val="1"/>
          <w:sz w:val="21"/>
          <w:szCs w:val="21"/>
          <w:shd w:val="clear" w:fill="FFFFFF"/>
          <w:lang w:val="en-US" w:eastAsia="zh-CN"/>
        </w:rPr>
        <w:t>,相比传统的基于力场的方法，Pythia实现了105倍的加速</w:t>
      </w:r>
      <w:r>
        <w:rPr>
          <w:rFonts w:hint="eastAsia" w:ascii="宋体" w:hAnsi="宋体" w:eastAsia="宋体" w:cs="宋体"/>
          <w:i w:val="0"/>
          <w:iCs w:val="0"/>
          <w:caps w:val="0"/>
          <w:color w:val="2C2C36"/>
          <w:spacing w:val="1"/>
          <w:sz w:val="21"/>
          <w:szCs w:val="21"/>
          <w:shd w:val="clear" w:fill="FFFFFF"/>
        </w:rPr>
        <w:t>。</w:t>
      </w:r>
    </w:p>
    <w:p w14:paraId="4596C5D8">
      <w:pPr>
        <w:ind w:firstLine="420" w:firstLineChars="0"/>
        <w:rPr>
          <w:rFonts w:hint="eastAsia" w:ascii="宋体" w:hAnsi="宋体" w:eastAsia="宋体" w:cs="宋体"/>
          <w:i w:val="0"/>
          <w:iCs w:val="0"/>
          <w:caps w:val="0"/>
          <w:color w:val="2C2C36"/>
          <w:spacing w:val="1"/>
          <w:sz w:val="21"/>
          <w:szCs w:val="21"/>
          <w:shd w:val="clear" w:fill="FFFFFF"/>
        </w:rPr>
      </w:pPr>
      <w:r>
        <w:rPr>
          <w:rFonts w:hint="eastAsia" w:ascii="宋体" w:hAnsi="宋体" w:eastAsia="宋体" w:cs="宋体"/>
          <w:i w:val="0"/>
          <w:iCs w:val="0"/>
          <w:caps w:val="0"/>
          <w:color w:val="2C2C36"/>
          <w:spacing w:val="1"/>
          <w:sz w:val="21"/>
          <w:szCs w:val="21"/>
          <w:shd w:val="clear" w:fill="FFFFFF"/>
        </w:rPr>
        <w:t>Pythia成功应用于预测柠檬烯环氧化物水解酶（LEH）的有效热稳定突变，并展示了其在探索2600万高质量蛋白质结构上的潜力。</w:t>
      </w:r>
    </w:p>
    <w:p w14:paraId="1F53FB1F">
      <w:pPr>
        <w:rPr>
          <w:rFonts w:hint="eastAsia" w:ascii="宋体" w:hAnsi="宋体" w:eastAsia="宋体" w:cs="宋体"/>
          <w:i w:val="0"/>
          <w:iCs w:val="0"/>
          <w:caps w:val="0"/>
          <w:color w:val="2C2C36"/>
          <w:spacing w:val="1"/>
          <w:sz w:val="21"/>
          <w:szCs w:val="21"/>
          <w:shd w:val="clear" w:fill="FFFFFF"/>
          <w:lang w:val="en-US" w:eastAsia="zh-CN"/>
        </w:rPr>
      </w:pPr>
    </w:p>
    <w:p w14:paraId="13B8C33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1" w:lineRule="atLeast"/>
        <w:ind w:left="0" w:right="0" w:firstLine="0"/>
        <w:jc w:val="both"/>
        <w:rPr>
          <w:rStyle w:val="10"/>
          <w:rFonts w:hint="eastAsia" w:ascii="宋体" w:hAnsi="宋体" w:eastAsia="宋体" w:cs="宋体"/>
          <w:i w:val="0"/>
          <w:iCs w:val="0"/>
          <w:caps w:val="0"/>
          <w:color w:val="000000"/>
          <w:spacing w:val="1"/>
          <w:sz w:val="21"/>
          <w:szCs w:val="21"/>
          <w:lang w:val="en-US" w:eastAsia="zh-CN"/>
        </w:rPr>
      </w:pPr>
    </w:p>
    <w:p w14:paraId="6F5BFD2A">
      <w:pPr>
        <w:rPr>
          <w:rFonts w:hint="eastAsia" w:ascii="宋体" w:hAnsi="宋体" w:eastAsia="宋体" w:cs="宋体"/>
          <w:i w:val="0"/>
          <w:iCs w:val="0"/>
          <w:caps w:val="0"/>
          <w:color w:val="222222"/>
          <w:spacing w:val="0"/>
          <w:sz w:val="21"/>
          <w:szCs w:val="21"/>
          <w:shd w:val="clear" w:fill="FFFFFF"/>
          <w:lang w:val="en-US" w:eastAsia="zh-CN"/>
        </w:rPr>
      </w:pPr>
    </w:p>
    <w:p w14:paraId="7D8F9EA5">
      <w:pPr>
        <w:ind w:firstLine="420" w:firstLineChars="0"/>
        <w:rPr>
          <w:rFonts w:hint="eastAsia" w:ascii="宋体" w:hAnsi="宋体" w:eastAsia="宋体" w:cs="宋体"/>
          <w:i w:val="0"/>
          <w:iCs w:val="0"/>
          <w:caps w:val="0"/>
          <w:color w:val="222222"/>
          <w:spacing w:val="0"/>
          <w:sz w:val="21"/>
          <w:szCs w:val="21"/>
          <w:shd w:val="clear" w:fill="FFFFFF"/>
          <w:lang w:val="en-US" w:eastAsia="zh-CN"/>
        </w:rPr>
      </w:pPr>
    </w:p>
    <w:p w14:paraId="21F0477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1" w:lineRule="atLeast"/>
        <w:ind w:left="0" w:right="0" w:firstLine="0"/>
        <w:jc w:val="both"/>
        <w:rPr>
          <w:rStyle w:val="10"/>
          <w:rFonts w:hint="eastAsia" w:ascii="宋体" w:hAnsi="宋体" w:eastAsia="宋体" w:cs="宋体"/>
          <w:i w:val="0"/>
          <w:iCs w:val="0"/>
          <w:caps w:val="0"/>
          <w:color w:val="000000"/>
          <w:spacing w:val="1"/>
          <w:sz w:val="21"/>
          <w:szCs w:val="21"/>
          <w:lang w:val="en-US" w:eastAsia="zh-CN"/>
        </w:rPr>
      </w:pPr>
    </w:p>
    <w:p w14:paraId="2D361B5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1" w:lineRule="atLeast"/>
        <w:ind w:left="0" w:right="0" w:firstLine="0"/>
        <w:jc w:val="both"/>
        <w:rPr>
          <w:rStyle w:val="10"/>
          <w:rFonts w:hint="eastAsia" w:ascii="宋体" w:hAnsi="宋体" w:eastAsia="宋体" w:cs="宋体"/>
          <w:i w:val="0"/>
          <w:iCs w:val="0"/>
          <w:caps w:val="0"/>
          <w:color w:val="000000"/>
          <w:spacing w:val="1"/>
          <w:sz w:val="21"/>
          <w:szCs w:val="21"/>
          <w:lang w:val="en-US" w:eastAsia="zh-CN"/>
        </w:rPr>
      </w:pPr>
      <w:r>
        <w:rPr>
          <w:rStyle w:val="10"/>
          <w:rFonts w:hint="eastAsia" w:ascii="宋体" w:hAnsi="宋体" w:eastAsia="宋体" w:cs="宋体"/>
          <w:i w:val="0"/>
          <w:iCs w:val="0"/>
          <w:caps w:val="0"/>
          <w:color w:val="000000"/>
          <w:spacing w:val="1"/>
          <w:sz w:val="21"/>
          <w:szCs w:val="21"/>
          <w:lang w:val="en-US" w:eastAsia="zh-CN"/>
        </w:rPr>
        <w:t>参考文献</w:t>
      </w:r>
    </w:p>
    <w:p w14:paraId="64CE9E6E">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1" w:lineRule="atLeast"/>
        <w:ind w:left="0" w:leftChars="0" w:right="0" w:firstLine="0" w:firstLineChars="0"/>
        <w:jc w:val="both"/>
        <w:rPr>
          <w:rStyle w:val="10"/>
          <w:rFonts w:hint="default" w:ascii="Arial" w:hAnsi="Arial" w:cs="Arial"/>
          <w:b w:val="0"/>
          <w:bCs w:val="0"/>
          <w:i w:val="0"/>
          <w:iCs w:val="0"/>
          <w:caps w:val="0"/>
          <w:color w:val="000000"/>
          <w:spacing w:val="1"/>
          <w:sz w:val="21"/>
          <w:szCs w:val="21"/>
          <w:lang w:val="en-US" w:eastAsia="zh-CN"/>
        </w:rPr>
      </w:pPr>
      <w:bookmarkStart w:id="7" w:name="_Ref28411"/>
      <w:r>
        <w:rPr>
          <w:rStyle w:val="10"/>
          <w:rFonts w:hint="default" w:ascii="Arial" w:hAnsi="Arial" w:cs="Arial"/>
          <w:b w:val="0"/>
          <w:bCs w:val="0"/>
          <w:i w:val="0"/>
          <w:iCs w:val="0"/>
          <w:caps w:val="0"/>
          <w:color w:val="000000"/>
          <w:spacing w:val="1"/>
          <w:sz w:val="21"/>
          <w:szCs w:val="21"/>
          <w:lang w:val="en-US" w:eastAsia="zh-CN"/>
        </w:rPr>
        <w:t>Nobuhiko Tokuriki and Dan S Tawfik. Stability effects of mutations and protein evolvability.Current opinion in structural biology, 19(5):596–604, 2009.</w:t>
      </w:r>
      <w:bookmarkEnd w:id="7"/>
    </w:p>
    <w:p w14:paraId="2B4A94B6">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1" w:lineRule="atLeast"/>
        <w:ind w:left="0" w:leftChars="0" w:right="0" w:firstLine="0" w:firstLineChars="0"/>
        <w:jc w:val="both"/>
        <w:rPr>
          <w:rStyle w:val="10"/>
          <w:rFonts w:hint="default" w:ascii="Arial" w:hAnsi="Arial" w:cs="Arial"/>
          <w:b w:val="0"/>
          <w:bCs w:val="0"/>
          <w:i w:val="0"/>
          <w:iCs w:val="0"/>
          <w:caps w:val="0"/>
          <w:color w:val="000000"/>
          <w:spacing w:val="1"/>
          <w:sz w:val="21"/>
          <w:szCs w:val="21"/>
          <w:lang w:val="en-US" w:eastAsia="zh-CN"/>
        </w:rPr>
      </w:pPr>
      <w:bookmarkStart w:id="8" w:name="_Ref28966"/>
      <w:r>
        <w:rPr>
          <w:rStyle w:val="10"/>
          <w:rFonts w:hint="default" w:ascii="Arial" w:hAnsi="Arial" w:cs="Arial"/>
          <w:b w:val="0"/>
          <w:bCs w:val="0"/>
          <w:i w:val="0"/>
          <w:iCs w:val="0"/>
          <w:caps w:val="0"/>
          <w:color w:val="000000"/>
          <w:spacing w:val="1"/>
          <w:sz w:val="21"/>
          <w:szCs w:val="21"/>
          <w:lang w:val="en-US" w:eastAsia="zh-CN"/>
        </w:rPr>
        <w:t>Angel L Pey, François Stricher, Luis Serrano, and Aurora Martinez. Predicted effects of missense mutations on native-state stability account for phenotypic outcome in phenylketonuria, a paradigm of misfolding diseases. The American Journal of Human Genetics, 81(5):1006–1024,2007.</w:t>
      </w:r>
      <w:bookmarkEnd w:id="8"/>
    </w:p>
    <w:p w14:paraId="28FD72BE">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1" w:lineRule="atLeast"/>
        <w:ind w:left="0" w:leftChars="0" w:right="0" w:firstLine="0" w:firstLineChars="0"/>
        <w:jc w:val="both"/>
        <w:rPr>
          <w:rStyle w:val="10"/>
          <w:rFonts w:hint="default" w:ascii="Arial" w:hAnsi="Arial" w:cs="Arial"/>
          <w:b w:val="0"/>
          <w:bCs w:val="0"/>
          <w:i w:val="0"/>
          <w:iCs w:val="0"/>
          <w:caps w:val="0"/>
          <w:color w:val="000000"/>
          <w:spacing w:val="1"/>
          <w:sz w:val="21"/>
          <w:szCs w:val="21"/>
          <w:lang w:val="en-US" w:eastAsia="zh-CN"/>
        </w:rPr>
      </w:pPr>
      <w:bookmarkStart w:id="9" w:name="_Ref31872"/>
      <w:r>
        <w:rPr>
          <w:rStyle w:val="7"/>
          <w:rFonts w:hint="default" w:ascii="Arial" w:hAnsi="Arial" w:eastAsia="Segoe UI" w:cs="Arial"/>
          <w:b w:val="0"/>
          <w:bCs w:val="0"/>
          <w:i w:val="0"/>
          <w:iCs w:val="0"/>
          <w:caps w:val="0"/>
          <w:color w:val="1F2328"/>
          <w:spacing w:val="0"/>
          <w:sz w:val="21"/>
          <w:szCs w:val="21"/>
          <w:shd w:val="clear" w:fill="FFFFFF"/>
        </w:rPr>
        <w:t>Structure-based self-supervised learning enables ultrafast prediction of stability changes upon mutation at the protein universe scale</w:t>
      </w:r>
      <w:r>
        <w:rPr>
          <w:rFonts w:hint="default" w:ascii="Arial" w:hAnsi="Arial" w:eastAsia="Segoe UI" w:cs="Arial"/>
          <w:b w:val="0"/>
          <w:bCs w:val="0"/>
          <w:i w:val="0"/>
          <w:iCs w:val="0"/>
          <w:caps w:val="0"/>
          <w:color w:val="1F2328"/>
          <w:spacing w:val="0"/>
          <w:sz w:val="21"/>
          <w:szCs w:val="21"/>
          <w:shd w:val="clear" w:fill="FFFFFF"/>
        </w:rPr>
        <w:br w:type="textWrapping"/>
      </w:r>
      <w:r>
        <w:rPr>
          <w:rFonts w:hint="default" w:ascii="Arial" w:hAnsi="Arial" w:eastAsia="Segoe UI" w:cs="Arial"/>
          <w:b w:val="0"/>
          <w:bCs w:val="0"/>
          <w:i w:val="0"/>
          <w:iCs w:val="0"/>
          <w:caps w:val="0"/>
          <w:color w:val="1F2328"/>
          <w:spacing w:val="0"/>
          <w:sz w:val="21"/>
          <w:szCs w:val="21"/>
          <w:shd w:val="clear" w:fill="FFFFFF"/>
        </w:rPr>
        <w:t>Jinyuan Sun, Tong Zhu, Yinglu Cui, Bian Wu</w:t>
      </w:r>
      <w:bookmarkEnd w:id="9"/>
    </w:p>
    <w:p w14:paraId="49CECC82">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1" w:lineRule="atLeast"/>
        <w:ind w:left="0" w:leftChars="0" w:right="0" w:firstLine="0" w:firstLineChars="0"/>
        <w:jc w:val="both"/>
        <w:rPr>
          <w:rFonts w:hint="default" w:ascii="Arial" w:hAnsi="Arial" w:cs="Arial"/>
          <w:b w:val="0"/>
          <w:bCs w:val="0"/>
          <w:sz w:val="21"/>
          <w:szCs w:val="21"/>
        </w:rPr>
      </w:pPr>
      <w:bookmarkStart w:id="10" w:name="_Ref606"/>
      <w:bookmarkEnd w:id="10"/>
      <w:r>
        <w:rPr>
          <w:rFonts w:hint="default" w:ascii="Arial" w:hAnsi="Arial" w:eastAsia="宋体" w:cs="Arial"/>
          <w:b w:val="0"/>
          <w:bCs w:val="0"/>
          <w:color w:val="000000"/>
          <w:kern w:val="0"/>
          <w:sz w:val="21"/>
          <w:szCs w:val="21"/>
          <w:lang w:val="en-US" w:eastAsia="zh-CN" w:bidi="ar"/>
        </w:rPr>
        <w:t xml:space="preserve">Gilmer, J., Schoenholz, S. S., Riley, P. F., Vinyals, O. &amp; Dahl, G. E. Neural message </w:t>
      </w:r>
    </w:p>
    <w:p w14:paraId="35ADA590">
      <w:pPr>
        <w:keepNext w:val="0"/>
        <w:keepLines w:val="0"/>
        <w:widowControl/>
        <w:suppressLineNumbers w:val="0"/>
        <w:jc w:val="both"/>
        <w:rPr>
          <w:rFonts w:hint="default" w:ascii="Arial" w:hAnsi="Arial" w:cs="Arial"/>
          <w:b w:val="0"/>
          <w:bCs w:val="0"/>
          <w:sz w:val="21"/>
          <w:szCs w:val="21"/>
        </w:rPr>
      </w:pPr>
      <w:r>
        <w:rPr>
          <w:rFonts w:hint="default" w:ascii="Arial" w:hAnsi="Arial" w:eastAsia="宋体" w:cs="Arial"/>
          <w:b w:val="0"/>
          <w:bCs w:val="0"/>
          <w:color w:val="000000"/>
          <w:kern w:val="0"/>
          <w:sz w:val="21"/>
          <w:szCs w:val="21"/>
          <w:lang w:val="en-US" w:eastAsia="zh-CN" w:bidi="ar"/>
        </w:rPr>
        <w:t xml:space="preserve">passing for quantum chemistry. In </w:t>
      </w:r>
      <w:r>
        <w:rPr>
          <w:rFonts w:hint="default" w:ascii="Arial" w:hAnsi="Arial" w:eastAsia="宋体" w:cs="Arial"/>
          <w:b w:val="0"/>
          <w:bCs w:val="0"/>
          <w:i/>
          <w:iCs/>
          <w:color w:val="000000"/>
          <w:kern w:val="0"/>
          <w:sz w:val="21"/>
          <w:szCs w:val="21"/>
          <w:lang w:val="en-US" w:eastAsia="zh-CN" w:bidi="ar"/>
        </w:rPr>
        <w:t xml:space="preserve">Proc. 34th International Conference on Machine </w:t>
      </w:r>
    </w:p>
    <w:p w14:paraId="695E3DA1">
      <w:pPr>
        <w:keepNext w:val="0"/>
        <w:keepLines w:val="0"/>
        <w:widowControl/>
        <w:suppressLineNumbers w:val="0"/>
        <w:jc w:val="both"/>
        <w:rPr>
          <w:rFonts w:hint="default" w:ascii="Arial" w:hAnsi="Arial" w:cs="Arial"/>
          <w:b w:val="0"/>
          <w:bCs w:val="0"/>
          <w:sz w:val="21"/>
          <w:szCs w:val="21"/>
        </w:rPr>
      </w:pPr>
      <w:r>
        <w:rPr>
          <w:rFonts w:hint="default" w:ascii="Arial" w:hAnsi="Arial" w:eastAsia="宋体" w:cs="Arial"/>
          <w:b w:val="0"/>
          <w:bCs w:val="0"/>
          <w:i/>
          <w:iCs/>
          <w:color w:val="000000"/>
          <w:kern w:val="0"/>
          <w:sz w:val="21"/>
          <w:szCs w:val="21"/>
          <w:lang w:val="en-US" w:eastAsia="zh-CN" w:bidi="ar"/>
        </w:rPr>
        <w:t xml:space="preserve">Learning </w:t>
      </w:r>
      <w:r>
        <w:rPr>
          <w:rFonts w:hint="default" w:ascii="Arial" w:hAnsi="Arial" w:eastAsia="宋体" w:cs="Arial"/>
          <w:b w:val="0"/>
          <w:bCs w:val="0"/>
          <w:color w:val="000000"/>
          <w:kern w:val="0"/>
          <w:sz w:val="21"/>
          <w:szCs w:val="21"/>
          <w:lang w:val="en-US" w:eastAsia="zh-CN" w:bidi="ar"/>
        </w:rPr>
        <w:t>Vol. 70, 1263-1272 (JMLR.org, 2017).</w:t>
      </w:r>
    </w:p>
    <w:p w14:paraId="77118EB3">
      <w:pPr>
        <w:numPr>
          <w:ilvl w:val="0"/>
          <w:numId w:val="0"/>
        </w:numPr>
        <w:ind w:leftChars="0"/>
        <w:rPr>
          <w:rFonts w:hint="default" w:ascii="Arial" w:hAnsi="Arial" w:eastAsia="宋体" w:cs="Arial"/>
          <w:i w:val="0"/>
          <w:iCs w:val="0"/>
          <w:caps w:val="0"/>
          <w:color w:val="000000" w:themeColor="text1"/>
          <w:spacing w:val="0"/>
          <w:sz w:val="18"/>
          <w:szCs w:val="18"/>
          <w:shd w:val="clear" w:fill="FFFFFF"/>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BD6702"/>
    <w:multiLevelType w:val="multilevel"/>
    <w:tmpl w:val="A5BD6702"/>
    <w:lvl w:ilvl="0" w:tentative="0">
      <w:start w:val="1"/>
      <w:numFmt w:val="decimal"/>
      <w:suff w:val="space"/>
      <w:lvlText w:val="[%1]"/>
      <w:lvlJc w:val="left"/>
      <w:pPr>
        <w:tabs>
          <w:tab w:val="left" w:pos="0"/>
        </w:tabs>
        <w:ind w:left="0" w:firstLine="0"/>
      </w:pPr>
      <w:rPr>
        <w:rFonts w:hint="default" w:ascii="Times New Roman" w:hAnsi="Times New Roman" w:eastAsia="宋体" w:cs="sans-serif"/>
      </w:rPr>
    </w:lvl>
    <w:lvl w:ilvl="1" w:tentative="0">
      <w:start w:val="1"/>
      <w:numFmt w:val="decimal"/>
      <w:isLgl/>
      <w:suff w:val="space"/>
      <w:lvlText w:val="%1.%2"/>
      <w:lvlJc w:val="left"/>
      <w:pPr>
        <w:ind w:left="0" w:firstLine="0"/>
      </w:pPr>
      <w:rPr>
        <w:rFonts w:hint="default" w:ascii="Times New Roman" w:hAnsi="Times New Roman" w:cs="Times New Roman"/>
      </w:rPr>
    </w:lvl>
    <w:lvl w:ilvl="2" w:tentative="0">
      <w:start w:val="1"/>
      <w:numFmt w:val="decimal"/>
      <w:isLgl/>
      <w:suff w:val="space"/>
      <w:lvlText w:val="%1.%2.%3"/>
      <w:lvlJc w:val="left"/>
      <w:pPr>
        <w:ind w:left="0" w:firstLine="0"/>
      </w:pPr>
      <w:rPr>
        <w:rFonts w:hint="default" w:ascii="Times New Roman" w:hAnsi="Times New Roman" w:cs="Times New Roman"/>
      </w:rPr>
    </w:lvl>
    <w:lvl w:ilvl="3" w:tentative="0">
      <w:start w:val="1"/>
      <w:numFmt w:val="decimal"/>
      <w:isLgl/>
      <w:suff w:val="space"/>
      <w:lvlText w:val="%1.%2.%3.%4"/>
      <w:lvlJc w:val="left"/>
      <w:pPr>
        <w:ind w:left="0" w:firstLine="0"/>
      </w:pPr>
      <w:rPr>
        <w:rFonts w:hint="default" w:ascii="Times New Roman" w:hAnsi="Times New Roman" w:cs="Times New Roman"/>
      </w:rPr>
    </w:lvl>
    <w:lvl w:ilvl="4" w:tentative="0">
      <w:start w:val="1"/>
      <w:numFmt w:val="decimal"/>
      <w:isLgl/>
      <w:lvlText w:val="%1.%2.%3.%4.%5"/>
      <w:lvlJc w:val="left"/>
      <w:pPr>
        <w:ind w:left="2520" w:hanging="1080"/>
      </w:pPr>
      <w:rPr>
        <w:rFonts w:hint="default" w:ascii="Times New Roman" w:hAnsi="Times New Roman" w:cs="Times New Roman"/>
      </w:rPr>
    </w:lvl>
    <w:lvl w:ilvl="5" w:tentative="0">
      <w:start w:val="1"/>
      <w:numFmt w:val="decimal"/>
      <w:isLgl/>
      <w:lvlText w:val="%1.%2.%3.%4.%5.%6"/>
      <w:lvlJc w:val="left"/>
      <w:pPr>
        <w:ind w:left="3240" w:hanging="1440"/>
      </w:pPr>
      <w:rPr>
        <w:rFonts w:hint="default" w:ascii="Times New Roman" w:hAnsi="Times New Roman" w:cs="Times New Roman"/>
      </w:rPr>
    </w:lvl>
    <w:lvl w:ilvl="6" w:tentative="0">
      <w:start w:val="1"/>
      <w:numFmt w:val="decimal"/>
      <w:isLgl/>
      <w:lvlText w:val="%1.%2.%3.%4.%5.%6.%7"/>
      <w:lvlJc w:val="left"/>
      <w:pPr>
        <w:ind w:left="3960" w:hanging="1800"/>
      </w:pPr>
      <w:rPr>
        <w:rFonts w:hint="default" w:ascii="Times New Roman" w:hAnsi="Times New Roman" w:cs="Times New Roman"/>
      </w:rPr>
    </w:lvl>
    <w:lvl w:ilvl="7" w:tentative="0">
      <w:start w:val="1"/>
      <w:numFmt w:val="decimal"/>
      <w:isLgl/>
      <w:lvlText w:val="%1.%2.%3.%4.%5.%6.%7.%8"/>
      <w:lvlJc w:val="left"/>
      <w:pPr>
        <w:ind w:left="4320" w:hanging="1800"/>
      </w:pPr>
      <w:rPr>
        <w:rFonts w:hint="default" w:ascii="Times New Roman" w:hAnsi="Times New Roman" w:cs="Times New Roman"/>
      </w:rPr>
    </w:lvl>
    <w:lvl w:ilvl="8" w:tentative="0">
      <w:start w:val="1"/>
      <w:numFmt w:val="decimal"/>
      <w:isLgl/>
      <w:lvlText w:val="%1.%2.%3.%4.%5.%6.%7.%8.%9"/>
      <w:lvlJc w:val="left"/>
      <w:pPr>
        <w:ind w:left="5040" w:hanging="2160"/>
      </w:pPr>
      <w:rPr>
        <w:rFonts w:hint="default" w:ascii="Times New Roman" w:hAnsi="Times New Roman" w:cs="Times New Roman"/>
      </w:rPr>
    </w:lvl>
  </w:abstractNum>
  <w:abstractNum w:abstractNumId="1">
    <w:nsid w:val="55DF1A9A"/>
    <w:multiLevelType w:val="multilevel"/>
    <w:tmpl w:val="55DF1A9A"/>
    <w:lvl w:ilvl="0" w:tentative="0">
      <w:start w:val="1"/>
      <w:numFmt w:val="decimal"/>
      <w:suff w:val="space"/>
      <w:lvlText w:val="[%1]"/>
      <w:lvlJc w:val="left"/>
      <w:pPr>
        <w:tabs>
          <w:tab w:val="left" w:pos="0"/>
        </w:tabs>
        <w:ind w:left="0" w:firstLine="0"/>
      </w:pPr>
      <w:rPr>
        <w:rFonts w:hint="default" w:ascii="Times New Roman" w:hAnsi="Times New Roman" w:eastAsia="宋体" w:cs="Arial"/>
      </w:rPr>
    </w:lvl>
    <w:lvl w:ilvl="1" w:tentative="0">
      <w:start w:val="1"/>
      <w:numFmt w:val="decimal"/>
      <w:isLgl/>
      <w:suff w:val="space"/>
      <w:lvlText w:val="%1.%2"/>
      <w:lvlJc w:val="left"/>
      <w:pPr>
        <w:ind w:left="0" w:firstLine="0"/>
      </w:pPr>
      <w:rPr>
        <w:rFonts w:hint="default" w:ascii="Times New Roman" w:hAnsi="Times New Roman" w:cs="Times New Roman"/>
      </w:rPr>
    </w:lvl>
    <w:lvl w:ilvl="2" w:tentative="0">
      <w:start w:val="1"/>
      <w:numFmt w:val="decimal"/>
      <w:isLgl/>
      <w:suff w:val="space"/>
      <w:lvlText w:val="%1.%2.%3"/>
      <w:lvlJc w:val="left"/>
      <w:pPr>
        <w:ind w:left="0" w:firstLine="0"/>
      </w:pPr>
      <w:rPr>
        <w:rFonts w:hint="default" w:ascii="Times New Roman" w:hAnsi="Times New Roman" w:cs="Times New Roman"/>
      </w:rPr>
    </w:lvl>
    <w:lvl w:ilvl="3" w:tentative="0">
      <w:start w:val="1"/>
      <w:numFmt w:val="decimal"/>
      <w:isLgl/>
      <w:suff w:val="space"/>
      <w:lvlText w:val="%1.%2.%3.%4"/>
      <w:lvlJc w:val="left"/>
      <w:pPr>
        <w:ind w:left="0" w:firstLine="0"/>
      </w:pPr>
      <w:rPr>
        <w:rFonts w:hint="default" w:ascii="Times New Roman" w:hAnsi="Times New Roman" w:cs="Times New Roman"/>
      </w:rPr>
    </w:lvl>
    <w:lvl w:ilvl="4" w:tentative="0">
      <w:start w:val="1"/>
      <w:numFmt w:val="decimal"/>
      <w:isLgl/>
      <w:lvlText w:val="%1.%2.%3.%4.%5"/>
      <w:lvlJc w:val="left"/>
      <w:pPr>
        <w:ind w:left="2520" w:hanging="1080"/>
      </w:pPr>
      <w:rPr>
        <w:rFonts w:hint="default" w:ascii="Times New Roman" w:hAnsi="Times New Roman" w:cs="Times New Roman"/>
      </w:rPr>
    </w:lvl>
    <w:lvl w:ilvl="5" w:tentative="0">
      <w:start w:val="1"/>
      <w:numFmt w:val="decimal"/>
      <w:isLgl/>
      <w:lvlText w:val="%1.%2.%3.%4.%5.%6"/>
      <w:lvlJc w:val="left"/>
      <w:pPr>
        <w:ind w:left="3240" w:hanging="1440"/>
      </w:pPr>
      <w:rPr>
        <w:rFonts w:hint="default" w:ascii="Times New Roman" w:hAnsi="Times New Roman" w:cs="Times New Roman"/>
      </w:rPr>
    </w:lvl>
    <w:lvl w:ilvl="6" w:tentative="0">
      <w:start w:val="1"/>
      <w:numFmt w:val="decimal"/>
      <w:isLgl/>
      <w:lvlText w:val="%1.%2.%3.%4.%5.%6.%7"/>
      <w:lvlJc w:val="left"/>
      <w:pPr>
        <w:ind w:left="3960" w:hanging="1800"/>
      </w:pPr>
      <w:rPr>
        <w:rFonts w:hint="default" w:ascii="Times New Roman" w:hAnsi="Times New Roman" w:cs="Times New Roman"/>
      </w:rPr>
    </w:lvl>
    <w:lvl w:ilvl="7" w:tentative="0">
      <w:start w:val="1"/>
      <w:numFmt w:val="decimal"/>
      <w:isLgl/>
      <w:lvlText w:val="%1.%2.%3.%4.%5.%6.%7.%8"/>
      <w:lvlJc w:val="left"/>
      <w:pPr>
        <w:ind w:left="4320" w:hanging="1800"/>
      </w:pPr>
      <w:rPr>
        <w:rFonts w:hint="default" w:ascii="Times New Roman" w:hAnsi="Times New Roman" w:cs="Times New Roman"/>
      </w:rPr>
    </w:lvl>
    <w:lvl w:ilvl="8" w:tentative="0">
      <w:start w:val="1"/>
      <w:numFmt w:val="decimal"/>
      <w:isLgl/>
      <w:lvlText w:val="%1.%2.%3.%4.%5.%6.%7.%8.%9"/>
      <w:lvlJc w:val="left"/>
      <w:pPr>
        <w:ind w:left="5040" w:hanging="2160"/>
      </w:pPr>
      <w:rPr>
        <w:rFonts w:hint="default"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F264FE"/>
    <w:rsid w:val="25EA1CC3"/>
    <w:rsid w:val="427230A1"/>
    <w:rsid w:val="76F26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uiPriority w:val="0"/>
    <w:rPr>
      <w:rFonts w:ascii="Courier New" w:hAnsi="Courier New"/>
      <w:sz w:val="20"/>
    </w:rPr>
  </w:style>
  <w:style w:type="paragraph" w:customStyle="1" w:styleId="11">
    <w:name w:val="一级标题"/>
    <w:basedOn w:val="1"/>
    <w:qFormat/>
    <w:uiPriority w:val="0"/>
    <w:pPr>
      <w:keepNext w:val="0"/>
      <w:keepLines w:val="0"/>
      <w:widowControl w:val="0"/>
      <w:suppressLineNumbers w:val="0"/>
      <w:autoSpaceDE w:val="0"/>
      <w:autoSpaceDN w:val="0"/>
      <w:spacing w:line="312" w:lineRule="auto"/>
      <w:ind w:left="0" w:firstLine="0"/>
      <w:jc w:val="left"/>
      <w:outlineLvl w:val="0"/>
    </w:pPr>
    <w:rPr>
      <w:rFonts w:hint="default" w:ascii="Times New Roman" w:hAnsi="Times New Roman" w:eastAsia="宋体" w:cs="Arial"/>
      <w:b/>
      <w:color w:val="231F20"/>
      <w:kern w:val="0"/>
      <w:sz w:val="32"/>
      <w:szCs w:val="32"/>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2762</Words>
  <Characters>4919</Characters>
  <Lines>0</Lines>
  <Paragraphs>0</Paragraphs>
  <TotalTime>0</TotalTime>
  <ScaleCrop>false</ScaleCrop>
  <LinksUpToDate>false</LinksUpToDate>
  <CharactersWithSpaces>5302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2025-01-16T16:30:00Z</dcterms:created>
  <dc:creator>ChrisX</dc:creator>
  <cp:lastModifiedBy>ChrisX</cp:lastModifiedBy>
  <dcterms:modified xsi:type="dcterms:W3CDTF">2025-01-18T14:57:40Z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D4500A55E7974A9B82F65D40AED25C80_11</vt:lpwstr>
  </property>
  <property fmtid="{D5CDD505-2E9C-101B-9397-08002B2CF9AE}" pid="4" name="KSOTemplateDocerSaveRecord">
    <vt:lpwstr>eyJoZGlkIjoiYjkyZmNhZmMwYTRkMzdjNDc0ZDBiODA4ZTNmNjg2YzYiLCJ1c2VySWQiOiI1NzY2MDAzMjUifQ==</vt:lpwstr>
  </property>
</Properties>
</file>