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2B721" w14:textId="1CB43EA8" w:rsidR="00C733BB" w:rsidRDefault="00864B72" w:rsidP="00864B72">
      <w:pPr>
        <w:pStyle w:val="Title"/>
        <w:jc w:val="center"/>
      </w:pPr>
      <w:r w:rsidRPr="00864B72">
        <w:t xml:space="preserve">PID Navigation for </w:t>
      </w:r>
      <w:proofErr w:type="spellStart"/>
      <w:r w:rsidRPr="00864B72">
        <w:t>Sanic</w:t>
      </w:r>
      <w:proofErr w:type="spellEnd"/>
      <w:r w:rsidRPr="00864B72">
        <w:t xml:space="preserve"> MARV Group 1 Hail Shrek </w:t>
      </w:r>
      <w:proofErr w:type="spellStart"/>
      <w:r w:rsidRPr="00864B72">
        <w:t>UwU</w:t>
      </w:r>
      <w:proofErr w:type="spellEnd"/>
    </w:p>
    <w:p w14:paraId="49D46C0D" w14:textId="75421153" w:rsidR="00864B72" w:rsidRDefault="00864B72" w:rsidP="00864B72"/>
    <w:p w14:paraId="029F9EDB" w14:textId="120404FA" w:rsidR="00864B72" w:rsidRPr="00333D41" w:rsidRDefault="0074621F" w:rsidP="00864B72">
      <w:pPr>
        <w:rPr>
          <w:rFonts w:eastAsiaTheme="minorEastAsia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 xml:space="preserve">Output =G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 xml:space="preserve">e(t) +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</w:rPr>
                    <m:t>t0</m:t>
                  </m:r>
                </m:sub>
                <m:sup>
                  <m:r>
                    <w:rPr>
                      <w:rFonts w:ascii="Cambria Math" w:hAnsi="Cambria Math" w:cs="Arial"/>
                      <w:color w:val="000000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color w:val="000000"/>
                    </w:rPr>
                    <m:t>e(t)</m:t>
                  </m:r>
                </m:e>
              </m:nary>
              <m:r>
                <w:rPr>
                  <w:rFonts w:ascii="Cambria Math" w:hAnsi="Cambria Math" w:cs="Arial"/>
                  <w:color w:val="000000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 xml:space="preserve">e(t) </m:t>
                  </m:r>
                </m:e>
              </m:d>
            </m:e>
          </m:d>
          <m:r>
            <w:rPr>
              <w:rFonts w:ascii="Cambria Math" w:hAnsi="Cambria Math" w:cs="Arial"/>
              <w:color w:val="000000"/>
            </w:rPr>
            <m:t xml:space="preserve"> +M</m:t>
          </m:r>
        </m:oMath>
      </m:oMathPara>
    </w:p>
    <w:p w14:paraId="3F3FAC75" w14:textId="491E4BED" w:rsidR="00333D41" w:rsidRPr="00333D41" w:rsidRDefault="00333D41" w:rsidP="00864B72">
      <w:pPr>
        <w:rPr>
          <w:lang w:val="af-ZA"/>
        </w:rPr>
      </w:pPr>
      <m:oMath>
        <m:r>
          <w:rPr>
            <w:rFonts w:ascii="Cambria Math" w:eastAsiaTheme="minorEastAsia" w:hAnsi="Cambria Math"/>
            <w:color w:val="000000"/>
            <w:lang w:val="af-ZA"/>
          </w:rPr>
          <m:t>e(t)</m:t>
        </m:r>
      </m:oMath>
      <w:r w:rsidRPr="00333D41">
        <w:rPr>
          <w:rFonts w:eastAsiaTheme="minorEastAsia"/>
          <w:color w:val="000000"/>
          <w:lang w:val="af-ZA"/>
        </w:rPr>
        <w:t xml:space="preserve"> is die </w:t>
      </w:r>
      <w:proofErr w:type="spellStart"/>
      <w:r w:rsidRPr="00333D41">
        <w:rPr>
          <w:rFonts w:eastAsiaTheme="minorEastAsia"/>
          <w:color w:val="000000"/>
          <w:lang w:val="af-ZA"/>
        </w:rPr>
        <w:t>error</w:t>
      </w:r>
      <w:proofErr w:type="spellEnd"/>
      <w:r w:rsidRPr="00333D41">
        <w:rPr>
          <w:rFonts w:eastAsiaTheme="minorEastAsia"/>
          <w:color w:val="000000"/>
          <w:lang w:val="af-ZA"/>
        </w:rPr>
        <w:t xml:space="preserve">, so die </w:t>
      </w:r>
      <m:oMath>
        <m:r>
          <w:rPr>
            <w:rFonts w:ascii="Cambria Math" w:eastAsiaTheme="minorEastAsia" w:hAnsi="Cambria Math"/>
            <w:color w:val="000000"/>
            <w:lang w:val="af-ZA"/>
          </w:rPr>
          <m:t>set point – actual value</m:t>
        </m:r>
      </m:oMath>
      <w:r w:rsidRPr="00333D41">
        <w:rPr>
          <w:rFonts w:eastAsiaTheme="minorEastAsia"/>
          <w:color w:val="000000"/>
          <w:lang w:val="af-ZA"/>
        </w:rPr>
        <w:t>. G, K</w:t>
      </w:r>
      <w:r w:rsidRPr="00333D41">
        <w:rPr>
          <w:rFonts w:eastAsiaTheme="minorEastAsia"/>
          <w:color w:val="000000"/>
          <w:vertAlign w:val="subscript"/>
          <w:lang w:val="af-ZA"/>
        </w:rPr>
        <w:t>I</w:t>
      </w:r>
      <w:r w:rsidRPr="00333D41">
        <w:rPr>
          <w:rFonts w:eastAsiaTheme="minorEastAsia"/>
          <w:color w:val="000000"/>
          <w:lang w:val="af-ZA"/>
        </w:rPr>
        <w:t xml:space="preserve"> en </w:t>
      </w:r>
      <w:r w:rsidRPr="00333D41">
        <w:rPr>
          <w:rFonts w:eastAsiaTheme="minorEastAsia"/>
          <w:color w:val="000000"/>
          <w:lang w:val="af-ZA"/>
        </w:rPr>
        <w:t>K</w:t>
      </w:r>
      <w:r w:rsidRPr="00333D41">
        <w:rPr>
          <w:rFonts w:eastAsiaTheme="minorEastAsia"/>
          <w:color w:val="000000"/>
          <w:vertAlign w:val="subscript"/>
          <w:lang w:val="af-ZA"/>
        </w:rPr>
        <w:t xml:space="preserve">D </w:t>
      </w:r>
      <w:r w:rsidRPr="00333D41">
        <w:rPr>
          <w:lang w:val="af-ZA"/>
        </w:rPr>
        <w:t xml:space="preserve">is set </w:t>
      </w:r>
      <w:proofErr w:type="spellStart"/>
      <w:r w:rsidRPr="00333D41">
        <w:rPr>
          <w:lang w:val="af-ZA"/>
        </w:rPr>
        <w:t>gains</w:t>
      </w:r>
      <w:proofErr w:type="spellEnd"/>
      <w:r w:rsidRPr="00333D41">
        <w:rPr>
          <w:lang w:val="af-ZA"/>
        </w:rPr>
        <w:t xml:space="preserve"> vir elke deel van die </w:t>
      </w:r>
      <w:proofErr w:type="spellStart"/>
      <w:r w:rsidRPr="00333D41">
        <w:rPr>
          <w:lang w:val="af-ZA"/>
        </w:rPr>
        <w:t>signal</w:t>
      </w:r>
      <w:proofErr w:type="spellEnd"/>
      <w:r w:rsidRPr="00333D41">
        <w:rPr>
          <w:lang w:val="af-ZA"/>
        </w:rPr>
        <w:t xml:space="preserve">. </w:t>
      </w:r>
    </w:p>
    <w:p w14:paraId="2A53A52E" w14:textId="65F4A6A2" w:rsidR="00333D41" w:rsidRPr="00333D41" w:rsidRDefault="00333D41" w:rsidP="00864B72">
      <w:pPr>
        <w:rPr>
          <w:lang w:val="af-ZA"/>
        </w:rPr>
      </w:pPr>
    </w:p>
    <w:p w14:paraId="75A97548" w14:textId="6D216FD4" w:rsidR="00333D41" w:rsidRDefault="00333D41" w:rsidP="00864B72">
      <w:pPr>
        <w:rPr>
          <w:lang w:val="af-ZA"/>
        </w:rPr>
      </w:pPr>
      <w:r>
        <w:rPr>
          <w:lang w:val="af-ZA"/>
        </w:rPr>
        <w:t xml:space="preserve">Stap een is die </w:t>
      </w:r>
      <w:proofErr w:type="spellStart"/>
      <w:r>
        <w:rPr>
          <w:lang w:val="af-ZA"/>
        </w:rPr>
        <w:t>error</w:t>
      </w:r>
      <w:proofErr w:type="spellEnd"/>
      <w:r>
        <w:rPr>
          <w:lang w:val="af-ZA"/>
        </w:rPr>
        <w:t xml:space="preserve"> funksie: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3D41" w14:paraId="1A822CF9" w14:textId="77777777" w:rsidTr="00333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0E449C7" w14:textId="2EFAD9AF" w:rsidR="00333D41" w:rsidRDefault="00333D41" w:rsidP="00333D41"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LL</w:t>
            </w:r>
          </w:p>
        </w:tc>
        <w:tc>
          <w:tcPr>
            <w:tcW w:w="1502" w:type="dxa"/>
          </w:tcPr>
          <w:p w14:paraId="20EF20BA" w14:textId="687DE244" w:rsidR="00333D41" w:rsidRDefault="00333D41" w:rsidP="0033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L</w:t>
            </w:r>
          </w:p>
        </w:tc>
        <w:tc>
          <w:tcPr>
            <w:tcW w:w="1503" w:type="dxa"/>
          </w:tcPr>
          <w:p w14:paraId="10C73359" w14:textId="405E46C9" w:rsidR="00333D41" w:rsidRDefault="00333D41" w:rsidP="0033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</w:t>
            </w:r>
          </w:p>
        </w:tc>
        <w:tc>
          <w:tcPr>
            <w:tcW w:w="1503" w:type="dxa"/>
          </w:tcPr>
          <w:p w14:paraId="4509A484" w14:textId="7BCE5F10" w:rsidR="00333D41" w:rsidRDefault="00333D41" w:rsidP="0033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R</w:t>
            </w:r>
          </w:p>
        </w:tc>
        <w:tc>
          <w:tcPr>
            <w:tcW w:w="1503" w:type="dxa"/>
          </w:tcPr>
          <w:p w14:paraId="1DF924DC" w14:textId="2A5CB721" w:rsidR="00333D41" w:rsidRDefault="00333D41" w:rsidP="0033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RR</w:t>
            </w:r>
          </w:p>
        </w:tc>
        <w:tc>
          <w:tcPr>
            <w:tcW w:w="1503" w:type="dxa"/>
          </w:tcPr>
          <w:p w14:paraId="7A07DBA4" w14:textId="355C34E7" w:rsidR="00333D41" w:rsidRDefault="00333D41" w:rsidP="0033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e(t)</w:t>
            </w:r>
          </w:p>
        </w:tc>
      </w:tr>
      <w:tr w:rsidR="00333D41" w14:paraId="76C15D81" w14:textId="77777777" w:rsidTr="0033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0412D1" w14:textId="77777777" w:rsidR="00333D41" w:rsidRDefault="00333D41" w:rsidP="00333D41">
            <w:pPr>
              <w:jc w:val="center"/>
              <w:rPr>
                <w:lang w:val="af-ZA"/>
              </w:rPr>
            </w:pPr>
          </w:p>
        </w:tc>
        <w:tc>
          <w:tcPr>
            <w:tcW w:w="1502" w:type="dxa"/>
          </w:tcPr>
          <w:p w14:paraId="2A52A4E8" w14:textId="77777777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3F8D2EF9" w14:textId="36CC1A51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X</w:t>
            </w:r>
          </w:p>
        </w:tc>
        <w:tc>
          <w:tcPr>
            <w:tcW w:w="1503" w:type="dxa"/>
          </w:tcPr>
          <w:p w14:paraId="264FE65E" w14:textId="77777777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62456ACE" w14:textId="77777777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1C1F45B1" w14:textId="4F1A6A78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0</w:t>
            </w:r>
          </w:p>
        </w:tc>
      </w:tr>
      <w:tr w:rsidR="00333D41" w14:paraId="544E6EE0" w14:textId="77777777" w:rsidTr="00333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2D25A1" w14:textId="77777777" w:rsidR="00333D41" w:rsidRDefault="00333D41" w:rsidP="00333D41">
            <w:pPr>
              <w:jc w:val="center"/>
              <w:rPr>
                <w:lang w:val="af-ZA"/>
              </w:rPr>
            </w:pPr>
          </w:p>
        </w:tc>
        <w:tc>
          <w:tcPr>
            <w:tcW w:w="1502" w:type="dxa"/>
          </w:tcPr>
          <w:p w14:paraId="260996CA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58EA7C41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36AD9E48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3D9E13BD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7467FC7E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</w:tr>
      <w:tr w:rsidR="00333D41" w14:paraId="7F204B25" w14:textId="77777777" w:rsidTr="0033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0006003" w14:textId="77777777" w:rsidR="00333D41" w:rsidRDefault="00333D41" w:rsidP="00333D41">
            <w:pPr>
              <w:jc w:val="center"/>
              <w:rPr>
                <w:lang w:val="af-ZA"/>
              </w:rPr>
            </w:pPr>
          </w:p>
        </w:tc>
        <w:tc>
          <w:tcPr>
            <w:tcW w:w="1502" w:type="dxa"/>
          </w:tcPr>
          <w:p w14:paraId="09704EBA" w14:textId="77777777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3488DDCF" w14:textId="77777777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01B2166F" w14:textId="77777777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281357B3" w14:textId="77777777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09182A6D" w14:textId="77777777" w:rsidR="00333D41" w:rsidRDefault="00333D41" w:rsidP="0033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</w:p>
        </w:tc>
      </w:tr>
      <w:tr w:rsidR="00333D41" w14:paraId="66B722DE" w14:textId="77777777" w:rsidTr="00333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4EFC973" w14:textId="77777777" w:rsidR="00333D41" w:rsidRDefault="00333D41" w:rsidP="00333D41">
            <w:pPr>
              <w:jc w:val="center"/>
              <w:rPr>
                <w:lang w:val="af-ZA"/>
              </w:rPr>
            </w:pPr>
          </w:p>
        </w:tc>
        <w:tc>
          <w:tcPr>
            <w:tcW w:w="1502" w:type="dxa"/>
          </w:tcPr>
          <w:p w14:paraId="4E0FEFC2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546DBB0B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10AD7F79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6AFFFCB4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  <w:tc>
          <w:tcPr>
            <w:tcW w:w="1503" w:type="dxa"/>
          </w:tcPr>
          <w:p w14:paraId="798E649F" w14:textId="77777777" w:rsidR="00333D41" w:rsidRDefault="00333D41" w:rsidP="0033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</w:p>
        </w:tc>
      </w:tr>
    </w:tbl>
    <w:p w14:paraId="4202C4CE" w14:textId="43735DA7" w:rsidR="00333D41" w:rsidRDefault="00333D41" w:rsidP="00864B72">
      <w:pPr>
        <w:rPr>
          <w:lang w:val="af-ZA"/>
        </w:rPr>
      </w:pPr>
    </w:p>
    <w:p w14:paraId="3BDCA443" w14:textId="02E71FE1" w:rsidR="00333D41" w:rsidRPr="00333D41" w:rsidRDefault="00333D41" w:rsidP="00864B72">
      <w:pPr>
        <w:rPr>
          <w:lang w:val="af-ZA"/>
        </w:rPr>
      </w:pPr>
      <w:proofErr w:type="spellStart"/>
      <w:r>
        <w:rPr>
          <w:lang w:val="af-ZA"/>
        </w:rPr>
        <w:t>Function</w:t>
      </w:r>
      <w:proofErr w:type="spellEnd"/>
      <w:r>
        <w:rPr>
          <w:lang w:val="af-ZA"/>
        </w:rPr>
        <w:t xml:space="preserve"> e(t) vat ’n </w:t>
      </w:r>
      <w:proofErr w:type="spellStart"/>
      <w:r>
        <w:rPr>
          <w:lang w:val="af-ZA"/>
        </w:rPr>
        <w:t>vector</w:t>
      </w:r>
      <w:proofErr w:type="spellEnd"/>
      <w:r>
        <w:rPr>
          <w:lang w:val="af-ZA"/>
        </w:rPr>
        <w:t xml:space="preserve"> van </w:t>
      </w:r>
      <w:proofErr w:type="spellStart"/>
      <w:r>
        <w:rPr>
          <w:lang w:val="af-ZA"/>
        </w:rPr>
        <w:t>inputs</w:t>
      </w:r>
      <w:proofErr w:type="spellEnd"/>
      <w:r>
        <w:rPr>
          <w:lang w:val="af-ZA"/>
        </w:rPr>
        <w:t xml:space="preserve">. </w:t>
      </w:r>
      <w:bookmarkStart w:id="0" w:name="_GoBack"/>
      <w:bookmarkEnd w:id="0"/>
    </w:p>
    <w:sectPr w:rsidR="00333D41" w:rsidRPr="0033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72"/>
    <w:rsid w:val="00333D41"/>
    <w:rsid w:val="006876FA"/>
    <w:rsid w:val="0074621F"/>
    <w:rsid w:val="00864B72"/>
    <w:rsid w:val="00C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21EF5"/>
  <w15:chartTrackingRefBased/>
  <w15:docId w15:val="{35745C40-A3C7-4B4C-8667-8F2D7840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3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33D41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Armandt Fourie</dc:creator>
  <cp:keywords/>
  <dc:description/>
  <cp:lastModifiedBy>Armandt Fourie</cp:lastModifiedBy>
  <cp:revision>1</cp:revision>
  <dcterms:created xsi:type="dcterms:W3CDTF">2019-04-26T19:38:00Z</dcterms:created>
  <dcterms:modified xsi:type="dcterms:W3CDTF">2019-04-26T20:30:00Z</dcterms:modified>
</cp:coreProperties>
</file>