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0B7F3D8A"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2</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36AB8DCC"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DD4D63">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6369A20D"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3</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w:t>
            </w:r>
            <w:proofErr w:type="gramStart"/>
            <w:r w:rsidRPr="6033A9FF">
              <w:rPr>
                <w:rFonts w:asciiTheme="minorHAnsi" w:eastAsiaTheme="minorEastAsia" w:hAnsiTheme="minorHAnsi" w:cstheme="minorBidi"/>
                <w:color w:val="3B3838" w:themeColor="background2" w:themeShade="40"/>
              </w:rPr>
              <w:t>de acuerdo a</w:t>
            </w:r>
            <w:proofErr w:type="gramEnd"/>
            <w:r w:rsidRPr="6033A9F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 xml:space="preserve">5. Cumple con los indicadores de calidad requeridos en la presentación del diseño del Proyecto APT </w:t>
            </w:r>
            <w:proofErr w:type="gramStart"/>
            <w:r w:rsidRPr="4018ADB8">
              <w:rPr>
                <w:rFonts w:asciiTheme="minorHAnsi" w:eastAsiaTheme="minorEastAsia" w:hAnsiTheme="minorHAnsi" w:cstheme="minorBidi"/>
                <w:lang w:eastAsia="es-CL"/>
              </w:rPr>
              <w:t>de acuerdo a</w:t>
            </w:r>
            <w:proofErr w:type="gramEnd"/>
            <w:r w:rsidRPr="4018ADB8">
              <w:rPr>
                <w:rFonts w:asciiTheme="minorHAnsi" w:eastAsiaTheme="minorEastAsia" w:hAnsiTheme="minorHAnsi" w:cstheme="minorBidi"/>
                <w:lang w:eastAsia="es-CL"/>
              </w:rPr>
              <w:t xml:space="preserve">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466571" w:rsidRDefault="00466571"/>
        </w:tc>
        <w:tc>
          <w:tcPr>
            <w:tcW w:w="2970" w:type="dxa"/>
            <w:vMerge/>
            <w:vAlign w:val="center"/>
          </w:tcPr>
          <w:p w14:paraId="787464C1" w14:textId="77777777" w:rsidR="00466571" w:rsidRDefault="00466571"/>
        </w:tc>
        <w:tc>
          <w:tcPr>
            <w:tcW w:w="4426" w:type="dxa"/>
            <w:vAlign w:val="center"/>
          </w:tcPr>
          <w:p w14:paraId="2D7A104E" w14:textId="3E456CEF" w:rsidR="3E14F13A" w:rsidRDefault="3E14F13A" w:rsidP="4018ADB8">
            <w:pPr>
              <w:jc w:val="both"/>
              <w:rPr>
                <w:rFonts w:ascii="Calibri" w:eastAsia="Calibri" w:hAnsi="Calibri" w:cs="Calibri"/>
              </w:rPr>
            </w:pPr>
          </w:p>
        </w:tc>
        <w:tc>
          <w:tcPr>
            <w:tcW w:w="1428" w:type="dxa"/>
            <w:vMerge/>
            <w:vAlign w:val="center"/>
          </w:tcPr>
          <w:p w14:paraId="790F2842" w14:textId="77777777" w:rsidR="00466571" w:rsidRDefault="00466571"/>
        </w:tc>
        <w:tc>
          <w:tcPr>
            <w:tcW w:w="1428" w:type="dxa"/>
            <w:vAlign w:val="center"/>
          </w:tcPr>
          <w:p w14:paraId="10AD8455" w14:textId="0870D2D0" w:rsidR="1E440422" w:rsidRDefault="1E440422" w:rsidP="4018ADB8">
            <w:pPr>
              <w:pStyle w:val="Piedepgina"/>
              <w:jc w:val="center"/>
              <w:rPr>
                <w:rFonts w:asciiTheme="minorHAnsi" w:eastAsiaTheme="minorEastAsia" w:hAnsiTheme="minorHAnsi" w:cstheme="minorBidi"/>
                <w:b/>
                <w:bCs/>
                <w:color w:val="000000" w:themeColor="text1"/>
                <w:lang w:eastAsia="es-CL"/>
              </w:rPr>
            </w:pP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30C8526C" w14:textId="27E28D07"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w:t>
            </w:r>
            <w:proofErr w:type="gramStart"/>
            <w:r w:rsidRPr="6033A9FF">
              <w:rPr>
                <w:rFonts w:asciiTheme="minorHAnsi" w:eastAsiaTheme="minorEastAsia" w:hAnsiTheme="minorHAnsi" w:cstheme="minorBidi"/>
                <w:color w:val="000000" w:themeColor="text1"/>
              </w:rPr>
              <w:t>las mismas</w:t>
            </w:r>
            <w:proofErr w:type="gramEnd"/>
            <w:r w:rsidRPr="6033A9FF">
              <w:rPr>
                <w:rFonts w:asciiTheme="minorHAnsi" w:eastAsiaTheme="minorEastAsia" w:hAnsiTheme="minorHAnsi" w:cstheme="minorBidi"/>
                <w:color w:val="000000" w:themeColor="text1"/>
              </w:rPr>
              <w:t xml:space="preserve">.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6B66D52" w14:textId="77777777"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4B01E89B" w14:textId="5E7C215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 xml:space="preserve">Completamente </w:t>
            </w: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4018ADB8">
        <w:trPr>
          <w:trHeight w:val="1975"/>
        </w:trPr>
        <w:tc>
          <w:tcPr>
            <w:tcW w:w="2925" w:type="dxa"/>
            <w:vAlign w:val="center"/>
            <w:hideMark/>
          </w:tcPr>
          <w:p w14:paraId="2C06A17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tcPr>
          <w:p w14:paraId="156D9FC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tcPr>
          <w:p w14:paraId="2996B889"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señalando la relevancia, impacto o beneficio (real o simulado) que tendría, pero no queda clara la </w:t>
            </w:r>
            <w:r w:rsidRPr="6033A9FF">
              <w:rPr>
                <w:rFonts w:asciiTheme="minorHAnsi" w:eastAsiaTheme="minorEastAsia" w:hAnsiTheme="minorHAnsi" w:cstheme="minorBidi"/>
                <w:color w:val="3B3838" w:themeColor="background2" w:themeShade="40"/>
              </w:rPr>
              <w:lastRenderedPageBreak/>
              <w:t>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hideMark/>
          </w:tcPr>
          <w:p w14:paraId="16321832"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hideMark/>
          </w:tcPr>
          <w:p w14:paraId="1AD6E10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5899AFBC"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2</w:t>
            </w:r>
          </w:p>
        </w:tc>
      </w:tr>
      <w:tr w:rsidR="001C0F79" w:rsidRPr="003F499E" w14:paraId="02A9A92E" w14:textId="77777777" w:rsidTr="4018ADB8">
        <w:trPr>
          <w:trHeight w:val="567"/>
        </w:trPr>
        <w:tc>
          <w:tcPr>
            <w:tcW w:w="2925" w:type="dxa"/>
            <w:vAlign w:val="center"/>
          </w:tcPr>
          <w:p w14:paraId="09CBE47D"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tcPr>
          <w:p w14:paraId="6E094A2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distintas competencias para desarrollar su Proyecto APT. </w:t>
            </w:r>
          </w:p>
        </w:tc>
        <w:tc>
          <w:tcPr>
            <w:tcW w:w="2190" w:type="dxa"/>
          </w:tcPr>
          <w:p w14:paraId="756EA39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tcPr>
          <w:p w14:paraId="3086C79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que tiene elementos que no son coherentes entre su proyecto y el perfil de egreso de su plan de estudio.</w:t>
            </w:r>
          </w:p>
        </w:tc>
        <w:tc>
          <w:tcPr>
            <w:tcW w:w="1945" w:type="dxa"/>
          </w:tcPr>
          <w:p w14:paraId="3DA325A6"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29755179"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4018ADB8">
        <w:trPr>
          <w:trHeight w:val="567"/>
        </w:trPr>
        <w:tc>
          <w:tcPr>
            <w:tcW w:w="2925" w:type="dxa"/>
            <w:vAlign w:val="center"/>
          </w:tcPr>
          <w:p w14:paraId="41CBF6F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tcPr>
          <w:p w14:paraId="48CE56D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tcPr>
          <w:p w14:paraId="2EE689A4" w14:textId="0EA75112"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tcPr>
          <w:p w14:paraId="5D3B250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tcPr>
          <w:p w14:paraId="41077BB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4018ADB8">
        <w:trPr>
          <w:trHeight w:val="567"/>
        </w:trPr>
        <w:tc>
          <w:tcPr>
            <w:tcW w:w="2925" w:type="dxa"/>
            <w:vAlign w:val="center"/>
          </w:tcPr>
          <w:p w14:paraId="775AEE00"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tcPr>
          <w:p w14:paraId="76696DC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tcPr>
          <w:p w14:paraId="45A6891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tcPr>
          <w:p w14:paraId="20E74BE5"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tcPr>
          <w:p w14:paraId="64575DA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2467D083"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3</w:t>
            </w:r>
          </w:p>
        </w:tc>
      </w:tr>
      <w:tr w:rsidR="0004580B" w:rsidRPr="003F499E" w14:paraId="06620D28" w14:textId="77777777" w:rsidTr="4018ADB8">
        <w:trPr>
          <w:trHeight w:val="567"/>
        </w:trPr>
        <w:tc>
          <w:tcPr>
            <w:tcW w:w="2925" w:type="dxa"/>
            <w:vAlign w:val="center"/>
          </w:tcPr>
          <w:p w14:paraId="74EA551F" w14:textId="27261A3C"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w:t>
            </w:r>
            <w:proofErr w:type="gramStart"/>
            <w:r w:rsidRPr="6033A9FF">
              <w:rPr>
                <w:rFonts w:asciiTheme="minorHAnsi" w:eastAsiaTheme="minorEastAsia" w:hAnsiTheme="minorHAnsi" w:cstheme="minorBidi"/>
                <w:lang w:eastAsia="es-CL"/>
              </w:rPr>
              <w:t>de acuerdo a</w:t>
            </w:r>
            <w:proofErr w:type="gramEnd"/>
            <w:r w:rsidRPr="6033A9FF">
              <w:rPr>
                <w:rFonts w:asciiTheme="minorHAnsi" w:eastAsiaTheme="minorEastAsia" w:hAnsiTheme="minorHAnsi" w:cstheme="minorBidi"/>
                <w:lang w:eastAsia="es-CL"/>
              </w:rPr>
              <w:t xml:space="preserve"> </w:t>
            </w:r>
            <w:r w:rsidRPr="6033A9FF">
              <w:rPr>
                <w:rFonts w:asciiTheme="minorHAnsi" w:eastAsiaTheme="minorEastAsia" w:hAnsiTheme="minorHAnsi" w:cstheme="minorBidi"/>
                <w:lang w:eastAsia="es-CL"/>
              </w:rPr>
              <w:lastRenderedPageBreak/>
              <w:t>estándares definidos por la disciplina.</w:t>
            </w:r>
          </w:p>
        </w:tc>
        <w:tc>
          <w:tcPr>
            <w:tcW w:w="2250" w:type="dxa"/>
          </w:tcPr>
          <w:p w14:paraId="5CD07275" w14:textId="2B7C5656"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100%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190" w:type="dxa"/>
          </w:tcPr>
          <w:p w14:paraId="43C3D76F" w14:textId="5C08F011"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60%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235" w:type="dxa"/>
          </w:tcPr>
          <w:p w14:paraId="4B2C8A80" w14:textId="5DEE994F"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solo con el 30% de los indicadores de calidad disciplinarios requeridos </w:t>
            </w:r>
            <w:r w:rsidRPr="6033A9FF">
              <w:rPr>
                <w:rFonts w:asciiTheme="minorHAnsi" w:eastAsiaTheme="minorEastAsia" w:hAnsiTheme="minorHAnsi" w:cstheme="minorBidi"/>
                <w:lang w:eastAsia="es-CL"/>
              </w:rPr>
              <w:lastRenderedPageBreak/>
              <w:t>en el diseño del Proyecto APT.</w:t>
            </w:r>
          </w:p>
        </w:tc>
        <w:tc>
          <w:tcPr>
            <w:tcW w:w="1945" w:type="dxa"/>
          </w:tcPr>
          <w:p w14:paraId="06CA2DCA" w14:textId="257C6370"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no cumple con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5</w:t>
            </w:r>
            <w:r w:rsidR="65CCA708" w:rsidRPr="4018ADB8">
              <w:rPr>
                <w:rFonts w:asciiTheme="minorHAnsi" w:eastAsiaTheme="minorEastAsia" w:hAnsiTheme="minorHAnsi" w:cstheme="minorBidi"/>
                <w:b/>
                <w:bCs/>
                <w:lang w:eastAsia="es-CL"/>
              </w:rPr>
              <w:t>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FAAE6" w14:textId="77777777" w:rsidR="00A34F9D" w:rsidRDefault="00A34F9D" w:rsidP="00B2162E">
      <w:r>
        <w:separator/>
      </w:r>
    </w:p>
  </w:endnote>
  <w:endnote w:type="continuationSeparator" w:id="0">
    <w:p w14:paraId="662624E0" w14:textId="77777777" w:rsidR="00A34F9D" w:rsidRDefault="00A34F9D"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D5B89" w14:textId="77777777" w:rsidR="00A34F9D" w:rsidRDefault="00A34F9D" w:rsidP="00B2162E">
      <w:r>
        <w:separator/>
      </w:r>
    </w:p>
  </w:footnote>
  <w:footnote w:type="continuationSeparator" w:id="0">
    <w:p w14:paraId="7F4CFE2A" w14:textId="77777777" w:rsidR="00A34F9D" w:rsidRDefault="00A34F9D"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w:t>
      </w:r>
      <w:proofErr w:type="gramStart"/>
      <w:r w:rsidRPr="004E3983">
        <w:rPr>
          <w:rFonts w:cs="Calibri Light"/>
          <w:sz w:val="18"/>
          <w:szCs w:val="18"/>
          <w:lang w:val="es-ES"/>
        </w:rPr>
        <w:t>en caso que</w:t>
      </w:r>
      <w:proofErr w:type="gramEnd"/>
      <w:r w:rsidRPr="004E3983">
        <w:rPr>
          <w:rFonts w:cs="Calibri Light"/>
          <w:sz w:val="18"/>
          <w:szCs w:val="18"/>
          <w:lang w:val="es-ES"/>
        </w:rPr>
        <w:t xml:space="preserv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E26845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0A7238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99668E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7674930">
    <w:abstractNumId w:val="3"/>
  </w:num>
  <w:num w:numId="2" w16cid:durableId="1439831222">
    <w:abstractNumId w:val="12"/>
  </w:num>
  <w:num w:numId="3" w16cid:durableId="1036004097">
    <w:abstractNumId w:val="24"/>
  </w:num>
  <w:num w:numId="4" w16cid:durableId="1711605638">
    <w:abstractNumId w:val="20"/>
  </w:num>
  <w:num w:numId="5" w16cid:durableId="352192231">
    <w:abstractNumId w:val="5"/>
  </w:num>
  <w:num w:numId="6" w16cid:durableId="1287469770">
    <w:abstractNumId w:val="17"/>
  </w:num>
  <w:num w:numId="7" w16cid:durableId="220218053">
    <w:abstractNumId w:val="23"/>
  </w:num>
  <w:num w:numId="8" w16cid:durableId="1570924996">
    <w:abstractNumId w:val="25"/>
  </w:num>
  <w:num w:numId="9" w16cid:durableId="1272467812">
    <w:abstractNumId w:val="8"/>
  </w:num>
  <w:num w:numId="10" w16cid:durableId="375475170">
    <w:abstractNumId w:val="18"/>
  </w:num>
  <w:num w:numId="11" w16cid:durableId="1995599765">
    <w:abstractNumId w:val="6"/>
  </w:num>
  <w:num w:numId="12" w16cid:durableId="926765155">
    <w:abstractNumId w:val="14"/>
  </w:num>
  <w:num w:numId="13" w16cid:durableId="191842145">
    <w:abstractNumId w:val="10"/>
  </w:num>
  <w:num w:numId="14" w16cid:durableId="1819613862">
    <w:abstractNumId w:val="7"/>
  </w:num>
  <w:num w:numId="15" w16cid:durableId="1308123858">
    <w:abstractNumId w:val="13"/>
  </w:num>
  <w:num w:numId="16" w16cid:durableId="1499810666">
    <w:abstractNumId w:val="4"/>
  </w:num>
  <w:num w:numId="17" w16cid:durableId="361521682">
    <w:abstractNumId w:val="1"/>
  </w:num>
  <w:num w:numId="18" w16cid:durableId="1071536552">
    <w:abstractNumId w:val="0"/>
  </w:num>
  <w:num w:numId="19" w16cid:durableId="1258909468">
    <w:abstractNumId w:val="15"/>
  </w:num>
  <w:num w:numId="20" w16cid:durableId="666980591">
    <w:abstractNumId w:val="21"/>
  </w:num>
  <w:num w:numId="21" w16cid:durableId="59524845">
    <w:abstractNumId w:val="19"/>
  </w:num>
  <w:num w:numId="22" w16cid:durableId="1829516048">
    <w:abstractNumId w:val="11"/>
  </w:num>
  <w:num w:numId="23" w16cid:durableId="1267074715">
    <w:abstractNumId w:val="2"/>
  </w:num>
  <w:num w:numId="24" w16cid:durableId="671831631">
    <w:abstractNumId w:val="9"/>
  </w:num>
  <w:num w:numId="25" w16cid:durableId="1002008022">
    <w:abstractNumId w:val="22"/>
  </w:num>
  <w:num w:numId="26" w16cid:durableId="319619263">
    <w:abstractNumId w:val="16"/>
  </w:num>
  <w:num w:numId="27" w16cid:durableId="175835848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6657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7231"/>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09D1"/>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4F9D"/>
    <w:rsid w:val="00A358CB"/>
    <w:rsid w:val="00A413E9"/>
    <w:rsid w:val="00A5261F"/>
    <w:rsid w:val="00A63596"/>
    <w:rsid w:val="00A85464"/>
    <w:rsid w:val="00A86516"/>
    <w:rsid w:val="00AA64CA"/>
    <w:rsid w:val="00AB7039"/>
    <w:rsid w:val="00AC164E"/>
    <w:rsid w:val="00AC45AD"/>
    <w:rsid w:val="00AC4CDA"/>
    <w:rsid w:val="00AC716E"/>
    <w:rsid w:val="00AE062B"/>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A7832"/>
    <w:rsid w:val="00CB6601"/>
    <w:rsid w:val="00CC5F44"/>
    <w:rsid w:val="00CC7D01"/>
    <w:rsid w:val="00CE294D"/>
    <w:rsid w:val="00CF1D56"/>
    <w:rsid w:val="00D004F0"/>
    <w:rsid w:val="00D10152"/>
    <w:rsid w:val="00D15350"/>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4D63"/>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1630</Words>
  <Characters>8971</Characters>
  <Application>Microsoft Office Word</Application>
  <DocSecurity>0</DocSecurity>
  <Lines>74</Lines>
  <Paragraphs>21</Paragraphs>
  <ScaleCrop>false</ScaleCrop>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Gerardo enrique</cp:lastModifiedBy>
  <cp:revision>71</cp:revision>
  <cp:lastPrinted>2021-11-25T12:30:00Z</cp:lastPrinted>
  <dcterms:created xsi:type="dcterms:W3CDTF">2022-08-25T15:56:00Z</dcterms:created>
  <dcterms:modified xsi:type="dcterms:W3CDTF">2023-08-01T04:51:00Z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