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00000"/>
          <w:sz w:val="28"/>
          <w:szCs w:val="28"/>
        </w:rPr>
        <w:t xml:space="preserve">SISTEMA DE QUEJAS, RECLAMOS, DENUNCIAS Y SUGERENCIAS</w:t>
      </w:r>
    </w:p>
    <w:p>
      <w:pPr>
        <w:spacing w:after="100"/>
        <w:jc w:val="center"/>
      </w:pPr>
      <w:r>
        <w:rPr>
          <w:rFonts w:ascii="Arial" w:cs="Arial" w:eastAsia="Arial" w:hAnsi="Arial"/>
          <w:b/>
          <w:bCs/>
          <w:color w:val="000000"/>
          <w:sz w:val="22"/>
          <w:szCs w:val="22"/>
        </w:rPr>
        <w:t xml:space="preserve">CON MÓDULO DE BITÁCORAS MUNICIPALES</w:t>
      </w:r>
    </w:p>
    <w:p>
      <w:pPr>
        <w:pBdr>
          <w:bottom w:val="single" w:color="1F3864" w:sz="6"/>
        </w:pBdr>
        <w:spacing w:after="60" w:before="60"/>
      </w:pPr>
      <w:r>
        <w:t xml:space="preserve"/>
      </w:r>
    </w:p>
    <w:p>
      <w:pPr>
        <w:spacing w:after="200"/>
      </w:pPr>
      <w:r>
        <w:t xml:space="preserve"/>
      </w:r>
    </w:p>
    <w:p>
      <w:pPr>
        <w:spacing w:after="100"/>
        <w:jc w:val="center"/>
      </w:pPr>
      <w:r>
        <w:rPr>
          <w:rFonts w:ascii="Arial" w:cs="Arial" w:eastAsia="Arial" w:hAnsi="Arial"/>
          <w:b/>
          <w:bCs/>
          <w:color w:val="000000"/>
          <w:sz w:val="24"/>
          <w:szCs w:val="24"/>
        </w:rPr>
        <w:t xml:space="preserve">CASO DE USO</w:t>
      </w:r>
    </w:p>
    <w:p>
      <w:pPr>
        <w:spacing w:after="100"/>
        <w:jc w:val="center"/>
      </w:pPr>
      <w:r>
        <w:rPr>
          <w:rFonts w:ascii="Arial" w:cs="Arial" w:eastAsia="Arial" w:hAnsi="Arial"/>
          <w:b/>
          <w:bCs/>
          <w:color w:val="000000"/>
          <w:sz w:val="28"/>
          <w:szCs w:val="28"/>
        </w:rPr>
        <w:t xml:space="preserve">CU-02: REGISTRAR CASO</w:t>
      </w:r>
    </w:p>
    <w:p>
      <w:pPr>
        <w:spacing w:after="100"/>
        <w:jc w:val="center"/>
      </w:pPr>
      <w:r>
        <w:rPr>
          <w:rFonts w:ascii="Arial" w:cs="Arial" w:eastAsia="Arial" w:hAnsi="Arial"/>
          <w:b w:val="false"/>
          <w:bCs w:val="false"/>
          <w:color w:val="000000"/>
          <w:sz w:val="22"/>
          <w:szCs w:val="22"/>
        </w:rPr>
        <w:t xml:space="preserve">Queja · Reclamo · Denuncia · Sugerencia</w:t>
      </w:r>
    </w:p>
    <w:p>
      <w:pPr>
        <w:spacing w:after="100"/>
        <w:jc w:val="center"/>
      </w:pPr>
      <w:r>
        <w:rPr>
          <w:rFonts w:ascii="Arial" w:cs="Arial" w:eastAsia="Arial" w:hAnsi="Arial"/>
          <w:b w:val="false"/>
          <w:bCs w:val="false"/>
          <w:color w:val="000000"/>
          <w:sz w:val="20"/>
          <w:szCs w:val="20"/>
        </w:rPr>
        <w:t xml:space="preserve">Acceso Público — Sin Autenticación Requerida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2"/>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Institución</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 CU</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r>
      <w:tr>
        <w:tc>
          <w:tcPr>
            <w:gridSpan w:val="2"/>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Municipalidad / Institución Pública</w:t>
            </w:r>
          </w:p>
        </w:tc>
        <w:tc>
          <w:tcPr>
            <w:gridSpan w:val="1"/>
            <w:tcMar>
              <w:top w:type="dxa" w:w="80"/>
              <w:left w:type="dxa" w:w="120"/>
              <w:bottom w:type="dxa" w:w="80"/>
              <w:right w:type="dxa" w:w="120"/>
            </w:tcMar>
            <w:vAlign w:val="center"/>
          </w:tcPr>
          <w:p>
            <w:r>
              <w:rPr>
                <w:rFonts w:ascii="Arial" w:cs="Arial" w:eastAsia="Arial" w:hAnsi="Arial"/>
                <w:b/>
                <w:bCs/>
                <w:color w:val="000000"/>
                <w:sz w:val="20"/>
                <w:szCs w:val="20"/>
              </w:rPr>
              <w:t xml:space="preserve">CU-02</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gridSpan w:val="1"/>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 del Caso de Uso</w:t>
            </w:r>
          </w:p>
        </w:tc>
        <w:tc>
          <w:tcPr>
            <w:gridSpan w:val="1"/>
            <w:tcMar>
              <w:top w:type="dxa" w:w="80"/>
              <w:left w:type="dxa" w:w="120"/>
              <w:bottom w:type="dxa" w:w="80"/>
              <w:right w:type="dxa" w:w="120"/>
            </w:tcMar>
            <w:vAlign w:val="center"/>
          </w:tcPr>
          <w:p>
            <w:r>
              <w:rPr>
                <w:rFonts w:ascii="Arial" w:cs="Arial" w:eastAsia="Arial" w:hAnsi="Arial"/>
                <w:b/>
                <w:bCs/>
                <w:color w:val="000000"/>
                <w:sz w:val="20"/>
                <w:szCs w:val="20"/>
              </w:rPr>
              <w:t xml:space="preserve">Registrar Caso (Queja, Reclamo, Denuncia o Sugerencia)</w:t>
            </w:r>
          </w:p>
        </w:tc>
        <w:tc>
          <w:tcPr>
            <w:gridSpan w:val="1"/>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Fecha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11/07/2026</w:t>
            </w:r>
          </w:p>
        </w:tc>
      </w:tr>
      <w:tr>
        <w:tc>
          <w:tcPr>
            <w:gridSpan w:val="1"/>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Autor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Bryan Cristales</w:t>
            </w:r>
          </w:p>
        </w:tc>
        <w:tc>
          <w:tcPr>
            <w:gridSpan w:val="1"/>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Aprobado</w:t>
            </w:r>
          </w:p>
        </w:tc>
      </w:tr>
      <w:tr>
        <w:tc>
          <w:tcPr>
            <w:gridSpan w:val="1"/>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Caso de Uso Previo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CU-00: Portal Público</w:t>
            </w:r>
          </w:p>
        </w:tc>
        <w:tc>
          <w:tcPr>
            <w:gridSpan w:val="1"/>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Caso de Uso Siguiente</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CU-03: Gestionar Caso</w:t>
            </w:r>
          </w:p>
        </w:tc>
      </w:tr>
    </w:tbl>
    <w:p>
      <w:pPr>
        <w:spacing w:after="300"/>
      </w:pPr>
      <w:r>
        <w:t xml:space="preserve"/>
      </w:r>
    </w:p>
    <w:p>
      <w:pPr>
        <w:spacing w:after="120" w:before="240"/>
      </w:pPr>
      <w:r>
        <w:rPr>
          <w:rFonts w:ascii="Arial" w:cs="Arial" w:eastAsia="Arial" w:hAnsi="Arial"/>
          <w:b/>
          <w:bCs/>
          <w:color w:val="1F3864"/>
          <w:sz w:val="22"/>
          <w:szCs w:val="22"/>
        </w:rPr>
        <w:t xml:space="preserve">1. 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 del Cambio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Bryan Cristales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11/07/2026</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Definición Inicial</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r>
      <w:tr>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r>
      <w:tr>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r>
    </w:tbl>
    <w:p>
      <w:pPr>
        <w:spacing w:after="200"/>
      </w:pPr>
      <w:r>
        <w:t xml:space="preserve"/>
      </w:r>
    </w:p>
    <w:p>
      <w:pPr>
        <w:spacing w:after="120" w:before="240"/>
      </w:pPr>
      <w:r>
        <w:rPr>
          <w:rFonts w:ascii="Arial" w:cs="Arial" w:eastAsia="Arial" w:hAnsi="Arial"/>
          <w:b/>
          <w:bCs/>
          <w:color w:val="1F3864"/>
          <w:sz w:val="22"/>
          <w:szCs w:val="22"/>
        </w:rPr>
        <w:t xml:space="preserve">2. Introducción</w:t>
      </w:r>
    </w:p>
    <w:p>
      <w:pPr>
        <w:spacing w:after="100" w:before="0"/>
      </w:pPr>
      <w:r>
        <w:rPr>
          <w:rFonts w:ascii="Arial" w:cs="Arial" w:eastAsia="Arial" w:hAnsi="Arial"/>
          <w:b w:val="false"/>
          <w:bCs w:val="false"/>
          <w:color w:val="000000"/>
          <w:sz w:val="20"/>
          <w:szCs w:val="20"/>
        </w:rPr>
        <w:t xml:space="preserve">El presente caso de uso CU-02 describe el proceso mediante el cual un ciudadano registra un caso en el Sistema QRDS. Este módulo es de acceso público y no requiere autenticación previa, garantizando que cualquier ciudadano pueda ejercer su derecho de presentar quejas, reclamos, denuncias o sugerencias ante la institución.</w:t>
      </w:r>
    </w:p>
    <w:p>
      <w:pPr>
        <w:spacing w:after="100" w:before="0"/>
      </w:pPr>
      <w:r>
        <w:rPr>
          <w:rFonts w:ascii="Arial" w:cs="Arial" w:eastAsia="Arial" w:hAnsi="Arial"/>
          <w:b w:val="false"/>
          <w:bCs w:val="false"/>
          <w:color w:val="000000"/>
          <w:sz w:val="20"/>
          <w:szCs w:val="20"/>
        </w:rPr>
        <w:t xml:space="preserve">El sistema genera automáticamente un código de seguimiento único que permite al ciudadano rastrear el estado de su caso sin necesidad de crear una cuenta. Todo el proceso queda registrado en la bitácora de auditoría.</w:t>
      </w:r>
    </w:p>
    <w:p>
      <w:pPr>
        <w:spacing w:after="120" w:before="240"/>
      </w:pPr>
      <w:r>
        <w:rPr>
          <w:rFonts w:ascii="Arial" w:cs="Arial" w:eastAsia="Arial" w:hAnsi="Arial"/>
          <w:b/>
          <w:bCs/>
          <w:color w:val="1F3864"/>
          <w:sz w:val="22"/>
          <w:szCs w:val="22"/>
        </w:rPr>
        <w:t xml:space="preserve">3. Objetivo</w:t>
      </w:r>
    </w:p>
    <w:p>
      <w:pPr>
        <w:spacing w:after="100" w:before="0"/>
      </w:pPr>
      <w:r>
        <w:rPr>
          <w:rFonts w:ascii="Arial" w:cs="Arial" w:eastAsia="Arial" w:hAnsi="Arial"/>
          <w:b w:val="false"/>
          <w:bCs w:val="false"/>
          <w:color w:val="000000"/>
          <w:sz w:val="20"/>
          <w:szCs w:val="20"/>
        </w:rPr>
        <w:t xml:space="preserve">Permitir a cualquier ciudadano registrar un caso (queja, reclamo, denuncia o sugerencia) de forma pública, segura y trazable, generando automáticamente un código de seguimiento único, notificando al ciudadano por correo electrónico y dejando constancia inmutable en la bitácora de auditoría del sistema.</w:t>
      </w:r>
    </w:p>
    <w:p>
      <w:pPr>
        <w:spacing w:after="120" w:before="240"/>
      </w:pPr>
      <w:r>
        <w:rPr>
          <w:rFonts w:ascii="Arial" w:cs="Arial" w:eastAsia="Arial" w:hAnsi="Arial"/>
          <w:b/>
          <w:bCs/>
          <w:color w:val="1F3864"/>
          <w:sz w:val="22"/>
          <w:szCs w:val="22"/>
        </w:rPr>
        <w:t xml:space="preserve">4. Tipos de Caso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8"/>
        <w:gridCol w:w="4992"/>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Queja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Insatisfacción por el servicio recibido de la institución o sus funcionarios.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Reclamo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Solicitud de revisión de una decisión, acción u omisión de la institución que afecta al ciudadano.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Denuncia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Comunicación de una posible irregularidad, acto de corrupción o incumplimiento de normas por parte de un funcionario o la institución.</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Sugerencia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Propuesta del ciudadano para mejorar los servicios, procesos o atención de la institución.</w:t>
            </w:r>
          </w:p>
        </w:tc>
      </w:tr>
    </w:tbl>
    <w:p>
      <w:pPr>
        <w:spacing w:after="160"/>
      </w:pPr>
      <w:r>
        <w:t xml:space="preserve"/>
      </w:r>
    </w:p>
    <w:p>
      <w:pPr>
        <w:spacing w:after="120" w:before="240"/>
      </w:pPr>
      <w:r>
        <w:rPr>
          <w:rFonts w:ascii="Arial" w:cs="Arial" w:eastAsia="Arial" w:hAnsi="Arial"/>
          <w:b/>
          <w:bCs/>
          <w:color w:val="1F3864"/>
          <w:sz w:val="22"/>
          <w:szCs w:val="22"/>
        </w:rPr>
        <w:t xml:space="preserve">5.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Usuario público (anónimo) que accede al formulario de registro desde el portal CU-00. No requiere autenticación.</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 QRDS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 los datos, genera el código de seguimiento, almacena el caso en BD, envía confirmación y registra en bitácora.</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Servidor de Correo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Servicio SMTP que envía la confirmación de registro con el código de seguimiento al ciudadano.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Módulo de Bitácora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 de forma inmutable la creación del caso: usuario (anónimo/IP), fecha, hora, tipo de caso y código generado.</w:t>
            </w:r>
          </w:p>
        </w:tc>
      </w:tr>
    </w:tbl>
    <w:p>
      <w:pPr>
        <w:spacing w:after="160"/>
      </w:pPr>
      <w:r>
        <w:t xml:space="preserve"/>
      </w:r>
    </w:p>
    <w:p>
      <w:pPr>
        <w:spacing w:after="120" w:before="240"/>
      </w:pPr>
      <w:r>
        <w:rPr>
          <w:rFonts w:ascii="Arial" w:cs="Arial" w:eastAsia="Arial" w:hAnsi="Arial"/>
          <w:b/>
          <w:bCs/>
          <w:color w:val="1F3864"/>
          <w:sz w:val="22"/>
          <w:szCs w:val="22"/>
        </w:rPr>
        <w:t xml:space="preserve">6. Precondiciones</w:t>
      </w:r>
    </w:p>
    <w:p>
      <w:pPr>
        <w:pStyle w:val="ListParagraph"/>
        <w:numPr>
          <w:ilvl w:val="0"/>
          <w:numId w:val="1"/>
        </w:numPr>
        <w:spacing w:after="60"/>
      </w:pPr>
      <w:r>
        <w:rPr>
          <w:rFonts w:ascii="Arial" w:cs="Arial" w:eastAsia="Arial" w:hAnsi="Arial"/>
          <w:color w:val="000000"/>
          <w:sz w:val="20"/>
          <w:szCs w:val="20"/>
        </w:rPr>
        <w:t xml:space="preserve">El portal público (CU-00) debe estar activo como punto de acceso.</w:t>
      </w:r>
    </w:p>
    <w:p>
      <w:pPr>
        <w:pStyle w:val="ListParagraph"/>
        <w:numPr>
          <w:ilvl w:val="0"/>
          <w:numId w:val="1"/>
        </w:numPr>
        <w:spacing w:after="60"/>
      </w:pPr>
      <w:r>
        <w:rPr>
          <w:rFonts w:ascii="Arial" w:cs="Arial" w:eastAsia="Arial" w:hAnsi="Arial"/>
          <w:color w:val="000000"/>
          <w:sz w:val="20"/>
          <w:szCs w:val="20"/>
        </w:rPr>
        <w:t xml:space="preserve">El backend (Spring Boot) debe estar disponible para recibir el registro.</w:t>
      </w:r>
    </w:p>
    <w:p>
      <w:pPr>
        <w:pStyle w:val="ListParagraph"/>
        <w:numPr>
          <w:ilvl w:val="0"/>
          <w:numId w:val="1"/>
        </w:numPr>
        <w:spacing w:after="60"/>
      </w:pPr>
      <w:r>
        <w:rPr>
          <w:rFonts w:ascii="Arial" w:cs="Arial" w:eastAsia="Arial" w:hAnsi="Arial"/>
          <w:color w:val="000000"/>
          <w:sz w:val="20"/>
          <w:szCs w:val="20"/>
        </w:rPr>
        <w:t xml:space="preserve">La base de datos debe estar operativa con la tabla 'casos' lista para inserción.</w:t>
      </w:r>
    </w:p>
    <w:p>
      <w:pPr>
        <w:pStyle w:val="ListParagraph"/>
        <w:numPr>
          <w:ilvl w:val="0"/>
          <w:numId w:val="1"/>
        </w:numPr>
        <w:spacing w:after="60"/>
      </w:pPr>
      <w:r>
        <w:rPr>
          <w:rFonts w:ascii="Arial" w:cs="Arial" w:eastAsia="Arial" w:hAnsi="Arial"/>
          <w:color w:val="000000"/>
          <w:sz w:val="20"/>
          <w:szCs w:val="20"/>
        </w:rPr>
        <w:t xml:space="preserve">El servidor de archivos debe estar disponible si se adjuntarán documentos.</w:t>
      </w:r>
    </w:p>
    <w:p>
      <w:pPr>
        <w:pStyle w:val="ListParagraph"/>
        <w:numPr>
          <w:ilvl w:val="0"/>
          <w:numId w:val="1"/>
        </w:numPr>
        <w:spacing w:after="60"/>
      </w:pPr>
      <w:r>
        <w:rPr>
          <w:rFonts w:ascii="Arial" w:cs="Arial" w:eastAsia="Arial" w:hAnsi="Arial"/>
          <w:color w:val="000000"/>
          <w:sz w:val="20"/>
          <w:szCs w:val="20"/>
        </w:rPr>
        <w:t xml:space="preserve">El servidor de correo (SMTP) debe estar configurado para envío de confirmaciones.</w:t>
      </w:r>
    </w:p>
    <w:p>
      <w:pPr>
        <w:pStyle w:val="ListParagraph"/>
        <w:numPr>
          <w:ilvl w:val="0"/>
          <w:numId w:val="1"/>
        </w:numPr>
        <w:spacing w:after="60"/>
      </w:pPr>
      <w:r>
        <w:rPr>
          <w:rFonts w:ascii="Arial" w:cs="Arial" w:eastAsia="Arial" w:hAnsi="Arial"/>
          <w:color w:val="000000"/>
          <w:sz w:val="20"/>
          <w:szCs w:val="20"/>
        </w:rPr>
        <w:t xml:space="preserve">El módulo de bitácoras debe estar activo para registrar el evento de creación.</w:t>
      </w:r>
    </w:p>
    <w:p>
      <w:pPr>
        <w:pStyle w:val="ListParagraph"/>
        <w:numPr>
          <w:ilvl w:val="0"/>
          <w:numId w:val="1"/>
        </w:numPr>
        <w:spacing w:after="60"/>
      </w:pPr>
      <w:r>
        <w:rPr>
          <w:rFonts w:ascii="Arial" w:cs="Arial" w:eastAsia="Arial" w:hAnsi="Arial"/>
          <w:color w:val="000000"/>
          <w:sz w:val="20"/>
          <w:szCs w:val="20"/>
        </w:rPr>
        <w:t xml:space="preserve">La tabla de áreas/dependencias debe estar poblada con las opciones configuradas por el administrador.</w:t>
      </w:r>
    </w:p>
    <w:p>
      <w:pPr>
        <w:spacing w:after="120" w:before="240"/>
      </w:pPr>
      <w:r>
        <w:rPr>
          <w:rFonts w:ascii="Arial" w:cs="Arial" w:eastAsia="Arial" w:hAnsi="Arial"/>
          <w:b/>
          <w:bCs/>
          <w:color w:val="1F3864"/>
          <w:sz w:val="22"/>
          <w:szCs w:val="22"/>
        </w:rPr>
        <w:t xml:space="preserve">7. Flujo Normal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6084"/>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Accede al formulario de registro desde el portal (CU-00 FA-01) o directamente desde la URL /registro-caso.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Despliega el formulario de registro con todos los campos requeridos. No solicita autenticación previa. [RN-01]</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Selecciona el tipo de caso: Queja, Reclamo, Denuncia o Sugerencia. [RN-02]</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Actualiza dinámicamente el formulario según el tipo seleccionado (campos adicionales si aplica). [FA-01]</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Completa los datos obligatorios: nombre completo, correo electrónico, teléfono (opcional), área/dependencia relacionada, descripción detallada del caso.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Adjunta documentos de soporte si los tiene (opcional). [FA-02] [RN-03]</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Acepta el aviso de privacidad y términos de uso. [RN-04]</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Presiona el botón 'Enviar Caso'.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 todos los campos obligatorios y formatos. [FA-03] [RN-05]</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 el código de seguimiento único con formato: TIPO-AÑO-CORRELATIVO (ej. Q-2026-00001). [RN-06]</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Almacena el caso en la tabla 'casos' con estado inicial RECIBIDO y la fecha/hora de registro.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 se adjuntaron archivos, los almacena en el servidor y registra referencia en tabla 'documentos_caso'. [RN-03]</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Envía correo de confirmación al ciudadano con el código de seguimiento, tipo de caso y plazo estimado de respuesta. [RN-07] [FA-04]</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 la creación del caso en la bitácora de auditoría: IP del ciudadano, fecha, hora, tipo de caso, código generado. [RN-08]</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Muestra pantalla de confirmación exitosa con el código de seguimiento y las instrucciones para dar seguimiento al caso.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 del caso de uso.</w:t>
            </w:r>
          </w:p>
        </w:tc>
      </w:tr>
    </w:tbl>
    <w:p>
      <w:pPr>
        <w:spacing w:after="160"/>
      </w:pPr>
      <w:r>
        <w:t xml:space="preserve"/>
      </w:r>
    </w:p>
    <w:p>
      <w:pPr>
        <w:spacing w:after="120" w:before="240"/>
      </w:pPr>
      <w:r>
        <w:rPr>
          <w:rFonts w:ascii="Arial" w:cs="Arial" w:eastAsia="Arial" w:hAnsi="Arial"/>
          <w:b/>
          <w:bCs/>
          <w:color w:val="1F3864"/>
          <w:sz w:val="22"/>
          <w:szCs w:val="22"/>
        </w:rPr>
        <w:t xml:space="preserve">8. Flujos Alternos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808"/>
        <w:gridCol w:w="5382"/>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Tipo de Caso — Denuncia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 el ciudadano selecciona 'Denuncia', el formulario muestra campos adicionales: nombre del funcionario/área denunciada (opcional) y opción de presentar la denuncia de forma anónima. [RN-09]</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Adjuntar Documentos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adjunta uno o más archivos de soporte. El sistema valida: tipo de archivo (PDF, JPG, PNG, DOCX), tamaño máximo por archivo (5 MB) y máximo 5 archivos por caso. Si alguno no cumple, muestra mensaje de error específico por archivo. [RN-03]</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Campos Obligatorios Incompletos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intenta enviar el formulario con campos obligatorios vacíos o con formato inválido. El sistema resalta los campos en rojo con mensaje descriptivo por campo. El botón 'Enviar Caso' permanece activo pero muestra los errores al presionarlo. Regresa al paso 5.</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Correo de Confirmación Fallido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servidor SMTP no puede enviar el correo de confirmación. El caso ya fue registrado exitosamente en BD (paso 11). El sistema muestra el código de seguimiento en pantalla con aviso: 'No fue posible enviar la confirmación por correo. Su código de caso es: [CÓDIGO]. Guárdelo para dar seguimiento.' Registra el fallo de notificación en el log del sistema.</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de Conexión al Enviar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backend no responde al intentar guardar el caso. El sistema muestra: 'Error al registrar su caso. Verifique su conexión e intente nuevamente.' El formulario conserva los datos ingresados para no obligar al ciudadano a escribir de nuevo.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 Duplicado Detectado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sistema detecta que el mismo correo electrónico ya tiene un caso activo con descripción muy similar en las últimas 24 horas. Muestra aviso: 'Detectamos que puede tener un caso similar registrado recientemente. Código: [CÓDIGO]. ¿Desea continuar con un nuevo registro?' El ciudadano decide si continúa o consulta su caso existente.</w:t>
            </w:r>
          </w:p>
        </w:tc>
      </w:tr>
    </w:tbl>
    <w:p>
      <w:pPr>
        <w:spacing w:after="160"/>
      </w:pPr>
      <w:r>
        <w:t xml:space="preserve"/>
      </w:r>
    </w:p>
    <w:p>
      <w:pPr>
        <w:spacing w:after="120" w:before="240"/>
      </w:pPr>
      <w:r>
        <w:rPr>
          <w:rFonts w:ascii="Arial" w:cs="Arial" w:eastAsia="Arial" w:hAnsi="Arial"/>
          <w:b/>
          <w:bCs/>
          <w:color w:val="1F3864"/>
          <w:sz w:val="22"/>
          <w:szCs w:val="22"/>
        </w:rPr>
        <w:t xml:space="preserve">9. Postcondiciones</w:t>
      </w:r>
    </w:p>
    <w:p>
      <w:pPr>
        <w:pStyle w:val="ListParagraph"/>
        <w:numPr>
          <w:ilvl w:val="0"/>
          <w:numId w:val="1"/>
        </w:numPr>
        <w:spacing w:after="60"/>
      </w:pPr>
      <w:r>
        <w:rPr>
          <w:rFonts w:ascii="Arial" w:cs="Arial" w:eastAsia="Arial" w:hAnsi="Arial"/>
          <w:color w:val="000000"/>
          <w:sz w:val="20"/>
          <w:szCs w:val="20"/>
        </w:rPr>
        <w:t xml:space="preserve">El caso queda almacenado en la BD con estado RECIBIDO y código de seguimiento único.</w:t>
      </w:r>
    </w:p>
    <w:p>
      <w:pPr>
        <w:pStyle w:val="ListParagraph"/>
        <w:numPr>
          <w:ilvl w:val="0"/>
          <w:numId w:val="1"/>
        </w:numPr>
        <w:spacing w:after="60"/>
      </w:pPr>
      <w:r>
        <w:rPr>
          <w:rFonts w:ascii="Arial" w:cs="Arial" w:eastAsia="Arial" w:hAnsi="Arial"/>
          <w:color w:val="000000"/>
          <w:sz w:val="20"/>
          <w:szCs w:val="20"/>
        </w:rPr>
        <w:t xml:space="preserve">El ciudadano recibió (o visualizó en pantalla) el código de seguimiento.</w:t>
      </w:r>
    </w:p>
    <w:p>
      <w:pPr>
        <w:pStyle w:val="ListParagraph"/>
        <w:numPr>
          <w:ilvl w:val="0"/>
          <w:numId w:val="1"/>
        </w:numPr>
        <w:spacing w:after="60"/>
      </w:pPr>
      <w:r>
        <w:rPr>
          <w:rFonts w:ascii="Arial" w:cs="Arial" w:eastAsia="Arial" w:hAnsi="Arial"/>
          <w:color w:val="000000"/>
          <w:sz w:val="20"/>
          <w:szCs w:val="20"/>
        </w:rPr>
        <w:t xml:space="preserve">El ciudadano recibió confirmación por correo electrónico (si proporcionó email y no es anónimo).</w:t>
      </w:r>
    </w:p>
    <w:p>
      <w:pPr>
        <w:pStyle w:val="ListParagraph"/>
        <w:numPr>
          <w:ilvl w:val="0"/>
          <w:numId w:val="1"/>
        </w:numPr>
        <w:spacing w:after="60"/>
      </w:pPr>
      <w:r>
        <w:rPr>
          <w:rFonts w:ascii="Arial" w:cs="Arial" w:eastAsia="Arial" w:hAnsi="Arial"/>
          <w:color w:val="000000"/>
          <w:sz w:val="20"/>
          <w:szCs w:val="20"/>
        </w:rPr>
        <w:t xml:space="preserve">El evento de creación del caso quedó registrado en la bitácora de auditoría de forma inmutable.</w:t>
      </w:r>
    </w:p>
    <w:p>
      <w:pPr>
        <w:pStyle w:val="ListParagraph"/>
        <w:numPr>
          <w:ilvl w:val="0"/>
          <w:numId w:val="1"/>
        </w:numPr>
        <w:spacing w:after="60"/>
      </w:pPr>
      <w:r>
        <w:rPr>
          <w:rFonts w:ascii="Arial" w:cs="Arial" w:eastAsia="Arial" w:hAnsi="Arial"/>
          <w:color w:val="000000"/>
          <w:sz w:val="20"/>
          <w:szCs w:val="20"/>
        </w:rPr>
        <w:t xml:space="preserve">Los documentos adjuntos (si los hubo) quedaron almacenados y referenciados en BD.</w:t>
      </w:r>
    </w:p>
    <w:p>
      <w:pPr>
        <w:pStyle w:val="ListParagraph"/>
        <w:numPr>
          <w:ilvl w:val="0"/>
          <w:numId w:val="1"/>
        </w:numPr>
        <w:spacing w:after="60"/>
      </w:pPr>
      <w:r>
        <w:rPr>
          <w:rFonts w:ascii="Arial" w:cs="Arial" w:eastAsia="Arial" w:hAnsi="Arial"/>
          <w:color w:val="000000"/>
          <w:sz w:val="20"/>
          <w:szCs w:val="20"/>
        </w:rPr>
        <w:t xml:space="preserve">El caso está disponible para ser asignado a un agente (CU-03: Gestionar Caso).</w:t>
      </w:r>
    </w:p>
    <w:p>
      <w:pPr>
        <w:spacing w:after="120" w:before="240"/>
      </w:pPr>
      <w:r>
        <w:rPr>
          <w:rFonts w:ascii="Arial" w:cs="Arial" w:eastAsia="Arial" w:hAnsi="Arial"/>
          <w:b/>
          <w:bCs/>
          <w:color w:val="1F3864"/>
          <w:sz w:val="22"/>
          <w:szCs w:val="22"/>
        </w:rPr>
        <w:t xml:space="preserve">10. Especificación de 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Obligatorio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Validación</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Tipo de Caso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Sí</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Uno de: Q/R/D/S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Cambia campos del form</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Nombre Completo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Sí*</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2-150 chars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*Opcional si es anónimo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Correo Electrónico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Sí*</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RFC 5322</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*Opcional si es anónimo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Teléfono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Tel</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8-15 dígitos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Solo para contacto adicional</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Área/Dependencia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Sí</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Select/Text</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Requerido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configurable por admin</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Descripción</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Sí</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Textarea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50-2000 chars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Contador de caracteres visible</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Denunciado (nombre)</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0-150 chars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Solo para Denuncias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 Anónimo?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Checkbox</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Boolean</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Solo para Denuncias</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Documentos Adjuntos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PDF/IMG/DOCX ≤5MB</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Máx. 5 archivos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Acepta Privacidad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Sí</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Checkbox</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Debe ser true</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Bloquea envío si no acepta</w:t>
            </w:r>
          </w:p>
        </w:tc>
      </w:tr>
    </w:tbl>
    <w:p>
      <w:pPr>
        <w:spacing w:after="160"/>
      </w:pPr>
      <w:r>
        <w:t xml:space="preserve"/>
      </w:r>
    </w:p>
    <w:p>
      <w:pPr>
        <w:spacing w:after="120" w:before="240"/>
      </w:pPr>
      <w:r>
        <w:rPr>
          <w:rFonts w:ascii="Arial" w:cs="Arial" w:eastAsia="Arial" w:hAnsi="Arial"/>
          <w:b/>
          <w:bCs/>
          <w:color w:val="1F3864"/>
          <w:sz w:val="22"/>
          <w:szCs w:val="22"/>
        </w:rPr>
        <w:t xml:space="preserve">11.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registro de casos es de acceso público. No se requiere autenticación. Cualquier ciudadano puede registrar un caso desde el portal sin crear una cuenta.</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Los cuatro tipos de caso (Queja, Reclamo, Denuncia, Sugerencia) son mutuamente excluyentes. El ciudadano debe seleccionar exactamente uno por registro.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Los archivos adjuntos deben cumplir: formatos permitidos (PDF, JPG, JPEG, PNG, DOCX), tamaño máximo de 5 MB por archivo, máximo 5 archivos por caso. Los archivos se almacenan en el servidor de archivos y se referencia su ruta en la BD.</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debe aceptar el aviso de privacidad antes de enviar el caso. Este aviso debe informar cómo se tratarán sus datos personales conforme a la legislación vigente.</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Campos obligatorios del formulario: tipo de caso, nombre completo del ciudadano, correo electrónico (formato válido), área/dependencia relacionada, descripción del caso (mínimo 50 caracteres, máximo 2000 caracteres).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código de seguimiento se genera automáticamente con el formato: [TIPO]-[AÑO]-[CORRELATIVO 5 DÍGITOS]. Ejemplos: Q-2026-00001, D-2026-00023, S-2026-00150. El correlativo es secuencial por tipo de caso y año. Este código es único e irrepetible.</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RN-07</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sistema envía automáticamente un correo de confirmación al ciudadano con: código de seguimiento, tipo de caso registrado, fecha de registro, plazo estimado de respuesta según tipo (Queja: 15 días hábiles, Reclamo: 20 días hábiles, Denuncia: 30 días hábiles, Sugerencia: 30 días hábiles) y URL para consultar el estado.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RN-08</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Todo registro de caso debe quedar en la bitácora de auditoría con: IP del ciudadano, fecha, hora, tipo de caso, código generado, correo del ciudadano (si no es anónimo). La bitácora es INMUTABLE.</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RN-09</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 denuncias pueden presentarse de forma anónima. En ese caso, el campo 'nombre completo' y 'correo electrónico' son opcionales. Si la denuncia es anónima, no se puede enviar confirmación por correo y el código de seguimiento debe mostrarse en pantalla con instrucción de guardarlo.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RN-10</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estado inicial de todo caso recién registrado es: RECIBIDO. Este estado indica que el caso fue recibido y está pendiente de asignación a un agente.</w:t>
            </w:r>
          </w:p>
        </w:tc>
      </w:tr>
    </w:tbl>
    <w:p>
      <w:pPr>
        <w:spacing w:after="160"/>
      </w:pPr>
      <w:r>
        <w:t xml:space="preserve"/>
      </w:r>
    </w:p>
    <w:p>
      <w:pPr>
        <w:spacing w:after="120" w:before="240"/>
      </w:pPr>
      <w:r>
        <w:rPr>
          <w:rFonts w:ascii="Arial" w:cs="Arial" w:eastAsia="Arial" w:hAnsi="Arial"/>
          <w:b/>
          <w:bCs/>
          <w:color w:val="1F3864"/>
          <w:sz w:val="22"/>
          <w:szCs w:val="22"/>
        </w:rPr>
        <w:t xml:space="preserve">12.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Rendimiento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formulario debe cargar en ≤ 2 segundos. El proceso de registro (validación + guardado + correo) debe completarse en ≤ 5 segundos.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Seguridad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Implementar CAPTCHA o reCAPTCHA para prevenir registros automatizados (bots). Rate limiting: máx. 5 registros por IP en 10 minutos.</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Usabilidad</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Formulario multi-paso (wizard) de 3 pasos: 1) Tipo de caso, 2) Datos del ciudadano + descripción, 3) Adjuntos + confirmación. Indicador de progreso visible.</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Disponibilidad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módulo de registro debe estar disponible 24/7, independientemente del estado de otros módulos del sistema.</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Accesibilidad</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Cumplir WCAG 2.1 nivel AA. Formulario navegable por teclado. Labels accesibles en todos los campos.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Una vez registrado, el caso no puede ser eliminado por el ciudadano. Solo los administradores pueden marcar un caso como 'Anulado' con justificación, lo cual queda en bitácora.</w:t>
            </w:r>
          </w:p>
        </w:tc>
      </w:tr>
    </w:tbl>
    <w:p>
      <w:pPr>
        <w:spacing w:after="160"/>
      </w:pPr>
      <w:r>
        <w:t xml:space="preserve"/>
      </w:r>
    </w:p>
    <w:p>
      <w:pPr>
        <w:spacing w:after="120" w:before="240"/>
      </w:pPr>
      <w:r>
        <w:rPr>
          <w:rFonts w:ascii="Arial" w:cs="Arial" w:eastAsia="Arial" w:hAnsi="Arial"/>
          <w:b/>
          <w:bCs/>
          <w:color w:val="1F3864"/>
          <w:sz w:val="22"/>
          <w:szCs w:val="22"/>
        </w:rPr>
        <w:t xml:space="preserve">13. Ciclo de Vida del Caso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Siguiente Estado Posible</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RECIBIDO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 registrado, pendiente de revisión.</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EN_REVISION, ANULADO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EN_REVISION</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Agente revisando el caso para determinar validez.</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EN_PROCESO, ANULADO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EN_PROCESO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 siendo gestionado activamente por el agente.</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RESUELTO, EN_REVISION</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RESUELTO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caso fue atendido y se dio respuesta al ciudadano.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CERRADO, EN_PROCESO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CERRADO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 finalizado y archivado.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(estado final)</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ANULADO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 anulado por administrador con justificación.</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(estado final, solo admin)</w:t>
            </w:r>
          </w:p>
        </w:tc>
      </w:tr>
    </w:tbl>
    <w:p>
      <w:pPr>
        <w:spacing w:after="160"/>
      </w:pPr>
      <w:r>
        <w:t xml:space="preserve"/>
      </w:r>
    </w:p>
    <w:p>
      <w:pPr>
        <w:spacing w:after="120" w:before="240"/>
      </w:pPr>
      <w:r>
        <w:rPr>
          <w:rFonts w:ascii="Arial" w:cs="Arial" w:eastAsia="Arial" w:hAnsi="Arial"/>
          <w:b/>
          <w:bCs/>
          <w:color w:val="1F3864"/>
          <w:sz w:val="22"/>
          <w:szCs w:val="22"/>
        </w:rPr>
        <w:t xml:space="preserve">14. Notas de Implementación Técnica (para Cursor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Ruta Angular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/registro-caso → RegistroCasoComponent (standalone, sin AuthGuard, acceso público)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Endpoint Registro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/api/casos/publico | Body: { tipoCaso, nombreCiudadano, email, telefono, areaDependencia, descripcion, esAnonimo, aceptaPrivacidad } | Response: { codigoSeguimiento, mensaje, fechaRegistro }</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Endpoint Adjuntos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/api/casos/publico/{codigoSeguimiento}/documentos | Content-Type: multipart/form-data | Response: { archivosSubidos: [] }</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Endpoint Consulta Pública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/api/casos/publico/{codigoSeguimiento} | Response: { codigoSeguimiento, tipoCaso, estado, fechaRegistro, ultimaActualizacion } — Solo devuelve datos no sensibles.</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Entidad BD — casos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tabla: casos | campos: id (BIGSERIAL PK), codigo_seguimiento (VARCHAR 20 UNIQUE), tipo_caso (VARCHAR 1: Q/R/D/S), nombre_ciudadano (VARCHAR 150), email_ciudadano (VARCHAR 150), telefono (VARCHAR 20), area_dependencia (VARCHAR 200), descripcion (TEXT), es_anonimo (BOOLEAN DEFAULT false), acepta_privacidad (BOOLEAN), estado (VARCHAR 20 DEFAULT 'RECIBIDO'), agente_asignado_id (BIGINT FK NULLABLE), fecha_registro (TIMESTAMP), fecha_ultima_actualizacion (TIMESTAMP), ip_registro (VARCHAR 45), creado_en (TIMESTAMP DEFAULT NOW())</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Entidad BD — documentos_caso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tabla: documentos_caso | campos: id (BIGSERIAL PK), caso_id (BIGINT FK), nombre_archivo (VARCHAR 255), ruta_archivo (VARCHAR 500), tipo_mime (VARCHAR 100), tamanio_bytes (BIGINT), subido_en (TIMESTAMP DEFAULT NOW())</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Servicio Angular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CasoPublicoService: métodos registrarCaso(dto), adjuntarDocumentos(codigo, archivos), consultarEstado(codigo)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Componentes Angular</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RegistroCasoComponent (wizard), PasoTipoCasoComponent, PasoDatosComponent, PasoAdjuntosComponent, ConfirmacionRegistroComponent, ConsultaEstadoModalComponent</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Clases Spring Boot</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CasoPublicoController, CasoService (registrar, generarCodigo, consultarPublico), DocumentoService (guardar archivos), NotificacionService (envío de correo), BitacoraService</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Generación de Código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Método en CasoService: String generarCodigo(String tipo) → tipo + '-' + Year.now() + '-' + String.format('%05d', correlativo). El correlativo se obtiene de la BD: SELECT COUNT(*)+1 FROM casos WHERE tipo_caso=? AND YEAR(fecha_registro)=?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Correo Confirmación</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Plantilla HTML con: logo institucional, código de seguimiento resaltado, tipo de caso, fecha, plazo de respuesta, link de seguimiento. Enviado con Spring Mail + JavaMailSender.</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Estados del Caso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RECIBIDO → EN_REVISION → EN_PROCESO → RESUELTO → CERRADO | También: ANULADO (solo admin con justificación)</w:t>
            </w:r>
          </w:p>
        </w:tc>
      </w:tr>
    </w:tbl>
    <w:p>
      <w:pPr>
        <w:spacing w:after="200"/>
      </w:pPr>
      <w:r>
        <w:t xml:space="preserve"/>
      </w:r>
    </w:p>
    <w:p>
      <w:pPr>
        <w:spacing w:after="120" w:before="240"/>
      </w:pPr>
      <w:r>
        <w:rPr>
          <w:rFonts w:ascii="Arial" w:cs="Arial" w:eastAsia="Arial" w:hAnsi="Arial"/>
          <w:b/>
          <w:bCs/>
          <w:color w:val="1F3864"/>
          <w:sz w:val="22"/>
          <w:szCs w:val="22"/>
        </w:rPr>
        <w:t xml:space="preserve">15.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Firma / Fecha</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Bryan Cristales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Desarrollador Senior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Analista de Sistemas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Responsable Institucional</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2026-07-15T19:09:39.473Z</dcterms:created>
  <dcterms:modified xsi:type="dcterms:W3CDTF">2026-07-15T19:09:39.486Z</dcterms:modified>
</cp:coreProperties>
</file>

<file path=docProps/custom.xml><?xml version="1.0" encoding="utf-8"?>
<Properties xmlns="http://schemas.openxmlformats.org/officeDocument/2006/custom-properties" xmlns:vt="http://schemas.openxmlformats.org/officeDocument/2006/docPropsVTypes"/>
</file>