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A365D"/>
          <w:sz w:val="28"/>
        </w:rPr>
        <w:t>Caso de Uso</w:t>
      </w:r>
    </w:p>
    <w:p>
      <w:pPr>
        <w:jc w:val="center"/>
      </w:pPr>
      <w:r>
        <w:rPr>
          <w:rFonts w:ascii="Calibri" w:hAnsi="Calibri" w:eastAsia="Calibri"/>
          <w:b/>
          <w:sz w:val="24"/>
        </w:rPr>
        <w:t>Sistema de Quejas, Reclamos, Denuncias y Sugerencias (QRDS)</w:t>
      </w:r>
    </w:p>
    <w:p>
      <w:pPr>
        <w:jc w:val="center"/>
      </w:pPr>
      <w:r>
        <w:rPr>
          <w:rFonts w:ascii="Calibri" w:hAnsi="Calibri" w:eastAsia="Calibri"/>
          <w:b/>
          <w:color w:val="2C5282"/>
          <w:sz w:val="22"/>
        </w:rPr>
        <w:t>Con Módulo de Bitácoras Municipales</w:t>
      </w:r>
    </w:p>
    <w:p>
      <w:pPr>
        <w:jc w:val="center"/>
      </w:pPr>
      <w:r>
        <w:rPr>
          <w:rFonts w:ascii="Calibri" w:hAnsi="Calibri" w:eastAsia="Calibri"/>
          <w:b/>
          <w:color w:val="1A365D"/>
          <w:sz w:val="28"/>
        </w:rPr>
        <w:t>Reglas de Negocio</w:t>
      </w:r>
    </w:p>
    <w:p>
      <w:pPr>
        <w:jc w:val="center"/>
      </w:pPr>
      <w:r>
        <w:rPr>
          <w:rFonts w:ascii="Calibri" w:hAnsi="Calibri" w:eastAsia="Calibri"/>
          <w:b/>
          <w:sz w:val="24"/>
        </w:rPr>
        <w:t>Versión 1.0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Elaborado por: Bryan Cristales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Fecha Elaboración: 15/07/2026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Complementa: CU_Reglas_de_Negocio_Casos_de_Uso_QRDS_V1.0 (detalle de formularios y mensajes)</w:t>
      </w:r>
    </w:p>
    <w:p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Historial de Revisiones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Descripción del Cambio</w:t>
            </w:r>
          </w:p>
        </w:tc>
        <w:tc>
          <w:tcPr>
            <w:tcW w:type="dxa" w:w="2351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Versión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Bryan Cristales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15/07/2026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Definición Inicial — roles, estados, códigos HTTP y contratos JSON/API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1.0</w:t>
            </w:r>
          </w:p>
        </w:tc>
      </w:tr>
    </w:tbl>
    <w:p/>
    <w:p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1. Introducción</w:t>
      </w:r>
    </w:p>
    <w:p>
      <w:r>
        <w:rPr>
          <w:rFonts w:ascii="Calibri" w:hAnsi="Calibri" w:eastAsia="Calibri"/>
          <w:b/>
          <w:color w:val="2C5282"/>
          <w:sz w:val="22"/>
        </w:rPr>
        <w:t>1.1 Objetivo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Detallar las reglas que sean de utilidad a los Casos de Uso del proyecto a través de la especificación de aspectos necesarios para una mejor comprensión y referencias. Este documento concentra las reglas fundamentales de roles, estados del caso, códigos de respuesta HTTP y estructuras JSON de la API REST del Sistema QRDS (Spring Boot + PostgreSQL).</w:t>
      </w:r>
    </w:p>
    <w:p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2. Definición Caso de Uso</w:t>
      </w:r>
    </w:p>
    <w:p>
      <w:r>
        <w:rPr>
          <w:rFonts w:ascii="Calibri" w:hAnsi="Calibri" w:eastAsia="Calibri"/>
          <w:b/>
          <w:color w:val="2C5282"/>
          <w:sz w:val="22"/>
        </w:rPr>
        <w:t>2.1 Actores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2.1.1. API REST del Sistema QRDS (Spring Boot).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2.1.2. Sistema informático (frontend Angular / clientes HTTP).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2.1.3. Módulo de Reglas de Negocio (capa de dominio / servicios).</w:t>
      </w:r>
    </w:p>
    <w:p>
      <w:r>
        <w:rPr>
          <w:rFonts w:ascii="Calibri" w:hAnsi="Calibri" w:eastAsia="Calibri"/>
          <w:b/>
          <w:color w:val="2C5282"/>
          <w:sz w:val="22"/>
        </w:rPr>
        <w:t>2.2 Precondiciones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2.2.1. Que la API REST se encuentre activa.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2.2.2. Que el sistema (frontend/backend/BD) se encuentre activo.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2.2.3. Que exista el llamado a la regla de negocio desde uno de los casos de uso del sistema.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2.2.4. Que, para endpoints autenticados, exista un JWT válido (CU-01).</w:t>
      </w:r>
    </w:p>
    <w:p>
      <w:r>
        <w:rPr>
          <w:rFonts w:ascii="Calibri" w:hAnsi="Calibri" w:eastAsia="Calibri"/>
          <w:b/>
          <w:color w:val="2C5282"/>
          <w:sz w:val="22"/>
        </w:rPr>
        <w:t>2.3 Flujo Normal Básico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1. El sistema recibe la llamada del caso de uso para uso de las reglas de negocio.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 El sistema recibe la regla de negocio llamada desde el caso de uso.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3. El sistema realiza las validaciones de acuerdo con la regla de negocio. Ver sección: Reglas de Negocio.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4. El sistema devuelve información requerida (JSON / código HTTP).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5. El sistema retorna al caso de uso donde existe el llamado.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6. Fin del Caso de Uso.</w:t>
      </w:r>
    </w:p>
    <w:p>
      <w:r>
        <w:rPr>
          <w:rFonts w:ascii="Calibri" w:hAnsi="Calibri" w:eastAsia="Calibri"/>
          <w:b/>
          <w:color w:val="2C5282"/>
          <w:sz w:val="22"/>
        </w:rPr>
        <w:t>2.4 Flujos Alternos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N/A (las denegaciones se expresan mediante códigos HTTP y cuerpo de error tipificado).</w:t>
      </w:r>
    </w:p>
    <w:p>
      <w:r>
        <w:rPr>
          <w:rFonts w:ascii="Calibri" w:hAnsi="Calibri" w:eastAsia="Calibri"/>
          <w:b/>
          <w:color w:val="2C5282"/>
          <w:sz w:val="22"/>
        </w:rPr>
        <w:t>2.5 Poscondiciones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2.5.1. El invocante recibió respuesta HTTP + JSON conforme a RN03 y RN04.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2.5.2. Si aplicó mutación de negocio, la bitácora quedó actualizada (solo INSERT).</w:t>
      </w:r>
    </w:p>
    <w:p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3. Requerimientos Suplementarios o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RNF-01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API bajo HTTPS; credenciales y JWT nunca en query string.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RNF-02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Validaciones de dominio en backend; Content-Type application/json salvo multipart.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RNF-03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Errores con cuerpo { codigo, mensaje, detalle? } sin stack trace al cliente.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RNF-04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Bitácoras inmutables (TDR): sin UPDATE/DELETE desde la aplicación.</w:t>
            </w:r>
          </w:p>
        </w:tc>
      </w:tr>
    </w:tbl>
    <w:p/>
    <w:p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REGLAS DE NEGOCIO</w:t>
      </w:r>
    </w:p>
    <w:p>
      <w:r>
        <w:rPr>
          <w:rFonts w:ascii="Calibri" w:hAnsi="Calibri" w:eastAsia="Calibri"/>
          <w:b/>
          <w:color w:val="2C5282"/>
          <w:sz w:val="22"/>
        </w:rPr>
        <w:t>RN01 —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Condiciones adicionales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Ciudadano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PUBLICO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Sin autenticación. Registrar caso, consultar por código, adjuntar en registro.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Agente / Funcionario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AGENTE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JWT. Solo casos asignados: seguimiento, resolver. No cierra ni reasigna.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Supervisor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SUPERVISOR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JWT. Casos de su área: asignar, reasignar, cerrar, reportes de área.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Administrador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ADMIN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JWT. Acceso global: usuarios, parámetros, anular, bitácoras, reportes.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SISTEMA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Jobs programados (vencimientos, reintentos de correo).</w:t>
            </w:r>
          </w:p>
        </w:tc>
      </w:tr>
    </w:tbl>
    <w:p/>
    <w:p>
      <w:r>
        <w:rPr>
          <w:rFonts w:ascii="Calibri" w:hAnsi="Calibri" w:eastAsia="Calibri"/>
          <w:b/>
          <w:color w:val="2C5282"/>
          <w:sz w:val="22"/>
        </w:rPr>
        <w:t>RN02 — Estados de los casos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RECIBIDO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Caso creado por el ciudadano. Pendiente de asignación. Estado inicial obligatorio.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EN_REVISION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Asignado a un agente; en revisión de validez. Se alcanza al asignar desde RECIBIDO.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EN_PROCESO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Atención activa del agente. Admite seguimientos y resolución formal.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RESUELTO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Respuesta formal emitida (comentario ≥100). Pendiente de cierre administrativo.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CERRADO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Estado final archivado. No se reabre. Nueva atención requiere nuevo caso.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ANULADO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Estado final por ADMIN con justificación. Improcedente o duplicado.</w:t>
            </w:r>
          </w:p>
        </w:tc>
      </w:tr>
    </w:tbl>
    <w:p/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Transiciones permitidas (resumen):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RECIBIDO → EN_REVISION | ANULADO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EN_REVISION → EN_PROCESO | ANULADO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EN_PROCESO → RESUELTO | EN_REVISION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RESUELTO → CERRADO | EN_PROCESO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2"/>
        </w:rPr>
        <w:t>CERRADO / ANULADO → (sin salida)</w:t>
      </w:r>
    </w:p>
    <w:p>
      <w:r>
        <w:rPr>
          <w:rFonts w:ascii="Calibri" w:hAnsi="Calibri" w:eastAsia="Calibri"/>
          <w:b/>
          <w:color w:val="2C5282"/>
          <w:sz w:val="22"/>
        </w:rPr>
        <w:t>RN03 — Códigos de respuesta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200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Petición realizada correctamente (OK / consulta / actualización)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201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Recurso creado (caso, usuario, seguimiento, documento metadato)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202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Aceptado para procesamiento asíncrono (reporte/job)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400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Solicitud inválida (validación de campos, transición ilegal, formato de código)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401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No autenticado (JWT ausente o inválido)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403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Usuario no cuenta con privilegios para realizar esta acción / ownership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404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No se encontró información de lo solicitado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409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Conflicto (email duplicado, reasignación idempotente, estado inconsistente)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429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Demasiadas peticiones (rate limit login o consulta pública)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500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Error interno del servidor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503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Servicio no disponible (storage/SMTP crítico según contexto)</w:t>
            </w:r>
          </w:p>
        </w:tc>
      </w:tr>
    </w:tbl>
    <w:p/>
    <w:p>
      <w:r>
        <w:rPr>
          <w:rFonts w:ascii="Calibri" w:hAnsi="Calibri" w:eastAsia="Calibri"/>
          <w:b/>
          <w:color w:val="2C5282"/>
          <w:sz w:val="22"/>
        </w:rPr>
        <w:t>RN04 — JSON para la API REST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No.</w:t>
            </w:r>
          </w:p>
        </w:tc>
        <w:tc>
          <w:tcPr>
            <w:tcW w:type="dxa" w:w="4703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Operación / Variables a enviar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Health / estado del sistema</w:t>
              <w:br/>
              <w:t>GET /api/sistema/estado</w:t>
              <w:br/>
              <w:t>(sin body)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Iniciar sesión (CU-01)</w:t>
              <w:br/>
              <w:t>POST /api/auth/login</w:t>
              <w:br/>
              <w:t>{</w:t>
              <w:br/>
              <w:t xml:space="preserve">  "email": "string",</w:t>
              <w:br/>
              <w:t xml:space="preserve">  "password": "string"</w:t>
              <w:br/>
              <w:t>}</w:t>
              <w:br/>
              <w:t>Response 200: { "token": "string", "usuario": { "id", "nombre", "email", "rol" } 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3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Cerrar sesión</w:t>
              <w:br/>
              <w:t>POST /api/auth/logout</w:t>
              <w:br/>
              <w:t>Header: Authorization: Bearer {token}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4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Registrar caso público (CU-02)</w:t>
              <w:br/>
              <w:t>POST /api/casos/publico</w:t>
              <w:br/>
              <w:t>{</w:t>
              <w:br/>
              <w:t xml:space="preserve">  "tipoCaso": "Q|R|D|S",</w:t>
              <w:br/>
              <w:t xml:space="preserve">  "nombreCiudadano": "string",</w:t>
              <w:br/>
              <w:t xml:space="preserve">  "email": "string",</w:t>
              <w:br/>
              <w:t xml:space="preserve">  "telefono": "string",</w:t>
              <w:br/>
              <w:t xml:space="preserve">  "areaDependencia": "string",</w:t>
              <w:br/>
              <w:t xml:space="preserve">  "descripcion": "string",</w:t>
              <w:br/>
              <w:t xml:space="preserve">  "esAnonimo": false,</w:t>
              <w:br/>
              <w:t xml:space="preserve">  "aceptaPrivacidad": true</w:t>
              <w:br/>
              <w:t>}</w:t>
              <w:br/>
              <w:t>Response 201: { "codigoSeguimiento", "mensaje", "fechaRegistro" 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5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Adjuntar documentos públicos</w:t>
              <w:br/>
              <w:t>POST /api/casos/publico/{codigoSeguimiento}/documentos</w:t>
              <w:br/>
              <w:t>Content-Type: multipart/form-data</w:t>
              <w:br/>
              <w:t>archivos: File[]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6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Consultar estado público (CU-07)</w:t>
              <w:br/>
              <w:t>GET /api/casos/publico/{codigoSeguimiento}</w:t>
              <w:br/>
              <w:t>Response 200: {</w:t>
              <w:br/>
              <w:t xml:space="preserve">  "codigoSeguimiento", "tipoCaso", "estado",</w:t>
              <w:br/>
              <w:t xml:space="preserve">  "fechaRegistro", "fechaUltimaActualizacion",</w:t>
              <w:br/>
              <w:t xml:space="preserve">  "avancePorcentaje", "resolucionResumen?",</w:t>
              <w:br/>
              <w:t xml:space="preserve">  "seguimientos": [{ "titulo", "descripcion", "fecha" }]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7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Listar casos (bandeja CU-03)</w:t>
              <w:br/>
              <w:t>GET /api/casos?estado=&amp;tipo=&amp;area=&amp;page=&amp;size=</w:t>
              <w:br/>
              <w:t>Header: Authorization Bearer</w:t>
              <w:br/>
              <w:t>Response: Page&lt;CasoResumenDTO&gt;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8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Asignar caso</w:t>
              <w:br/>
              <w:t>POST /api/casos/{id}/asignar</w:t>
              <w:br/>
              <w:t>{ "agenteId": 0 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9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Reasignar caso (CU-14)</w:t>
              <w:br/>
              <w:t>POST /api/casos/{id}/reasignar</w:t>
              <w:br/>
              <w:t>{</w:t>
              <w:br/>
              <w:t xml:space="preserve">  "nuevoAgenteId": 0,</w:t>
              <w:br/>
              <w:t xml:space="preserve">  "justificacion": "string (≥50)",</w:t>
              <w:br/>
              <w:t xml:space="preserve">  "notificar": true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10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Cambiar estado operativo</w:t>
              <w:br/>
              <w:t>PATCH /api/casos/{id}/estado</w:t>
              <w:br/>
              <w:t>{</w:t>
              <w:br/>
              <w:t xml:space="preserve">  "nuevoEstado": "EN_PROCESO",</w:t>
              <w:br/>
              <w:t xml:space="preserve">  "observacion": "string"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11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Registrar seguimiento (CU-04)</w:t>
              <w:br/>
              <w:t>POST /api/casos/{id}/seguimientos</w:t>
              <w:br/>
              <w:t>{</w:t>
              <w:br/>
              <w:t xml:space="preserve">  "tipo": "PUBLICA|INTERNA",</w:t>
              <w:br/>
              <w:t xml:space="preserve">  "titulo": "string",</w:t>
              <w:br/>
              <w:t xml:space="preserve">  "descripcion": "string",</w:t>
              <w:br/>
              <w:t xml:space="preserve">  "porcentajeAvance": 0,</w:t>
              <w:br/>
              <w:t xml:space="preserve">  "notificarCiudadano": true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12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Resolver caso (CU-05)</w:t>
              <w:br/>
              <w:t>POST /api/casos/{id}/resolver</w:t>
              <w:br/>
              <w:t>{</w:t>
              <w:br/>
              <w:t xml:space="preserve">  "comentario": "string (≥100)",</w:t>
              <w:br/>
              <w:t xml:space="preserve">  "tipoResultado": "ATENDIDO|PARCIALMENTE_ATENDIDO|IMPROCEDENTE|SIN_RESPUESTA_CIUDADANO",</w:t>
              <w:br/>
              <w:t xml:space="preserve">  "notificarCiudadano": true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13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Cerrar caso (CU-06)</w:t>
              <w:br/>
              <w:t>POST /api/casos/{id}/cerrar</w:t>
              <w:br/>
              <w:t>{</w:t>
              <w:br/>
              <w:t xml:space="preserve">  "motivo": "string (≥20)",</w:t>
              <w:br/>
              <w:t xml:space="preserve">  "notificarCiudadano": true,</w:t>
              <w:br/>
              <w:t xml:space="preserve">  "confirmoRevision": true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14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Anular caso (solo ADMIN)</w:t>
              <w:br/>
              <w:t>POST /api/casos/{id}/anular</w:t>
              <w:br/>
              <w:t>{ "justificacion": "string" 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15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Historial del caso (CU-13)</w:t>
              <w:br/>
              <w:t>GET /api/casos/{id}/historial?tipos=&amp;orden=DESC&amp;page=&amp;size=</w:t>
              <w:br/>
              <w:t>Response: HistorialEventoDTO[]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16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Crear usuario (CU-10)</w:t>
              <w:br/>
              <w:t>POST /api/usuarios</w:t>
              <w:br/>
              <w:t>{</w:t>
              <w:br/>
              <w:t xml:space="preserve">  "nombre": "string",</w:t>
              <w:br/>
              <w:t xml:space="preserve">  "email": "string",</w:t>
              <w:br/>
              <w:t xml:space="preserve">  "rol": "ADMIN|SUPERVISOR|AGENTE",</w:t>
              <w:br/>
              <w:t xml:space="preserve">  "areaId": 0,</w:t>
              <w:br/>
              <w:t xml:space="preserve">  "password": "string"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17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Dashboard (CU-16)</w:t>
              <w:br/>
              <w:t>GET /api/dashboard/resumen?periodo=30d</w:t>
              <w:br/>
              <w:t>Response: {</w:t>
              <w:br/>
              <w:t xml:space="preserve">  "totalesPorEstado": {},</w:t>
              <w:br/>
              <w:t xml:space="preserve">  "vencidos": 0,</w:t>
              <w:br/>
              <w:t xml:space="preserve">  "recibidosPeriodo": 0,</w:t>
              <w:br/>
              <w:t xml:space="preserve">  "resueltosPeriodo": 0,</w:t>
              <w:br/>
              <w:t xml:space="preserve">  "cargaAgentes": [],</w:t>
              <w:br/>
              <w:t xml:space="preserve">  "topVencidos": []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18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Consultar bitácoras (CU-11)</w:t>
              <w:br/>
              <w:t>GET /api/bitacoras?desde=&amp;hasta=&amp;dominio=&amp;tipo=&amp;page=&amp;size=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19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Generar reporte (CU-09)</w:t>
              <w:br/>
              <w:t>POST /api/reportes/generar</w:t>
              <w:br/>
              <w:t>{</w:t>
              <w:br/>
              <w:t xml:space="preserve">  "tipo": "RPT-01",</w:t>
              <w:br/>
              <w:t xml:space="preserve">  "filtros": {},</w:t>
              <w:br/>
              <w:t xml:space="preserve">  "formato": "PDF|XLSX|PANTALLA"</w:t>
              <w:br/>
              <w:t>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20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Error tipificado (cualquier endpoint)</w:t>
              <w:br/>
              <w:t>{</w:t>
              <w:br/>
              <w:t xml:space="preserve">  "codigo": "TRANSICION_INVALIDA",</w:t>
              <w:br/>
              <w:t xml:space="preserve">  "mensaje": "string",</w:t>
              <w:br/>
              <w:t xml:space="preserve">  "detalle": "string?"</w:t>
              <w:br/>
              <w:t>}</w:t>
            </w:r>
          </w:p>
        </w:tc>
      </w:tr>
    </w:tbl>
    <w:p/>
    <w:p>
      <w:pPr>
        <w:spacing w:before="200"/>
      </w:pPr>
      <w:r>
        <w:rPr>
          <w:rFonts w:ascii="Calibri" w:hAnsi="Calibri" w:eastAsia="Calibri"/>
          <w:b/>
          <w:color w:val="1A365D"/>
          <w:sz w:val="26"/>
        </w:rPr>
        <w:t>4. Firmas Necesarias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Sector / Rol</w:t>
            </w:r>
          </w:p>
        </w:tc>
        <w:tc>
          <w:tcPr>
            <w:tcW w:type="dxa" w:w="3135"/>
            <w:shd w:fill="1A365D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Bryan Cristales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Desarrollador Senior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Analista de Sistemas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Responsable Institucional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