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Caso de Uso</w:t>
      </w:r>
    </w:p>
    <w:p>
      <w:pPr>
        <w:jc w:val="center"/>
      </w:pPr>
      <w:r>
        <w:rPr>
          <w:rFonts w:ascii="Arial" w:hAnsi="Arial"/>
          <w:b/>
          <w:sz w:val="24"/>
        </w:rPr>
        <w:t>Sistema de Quejas, Reclamos, Denuncias y Sugerencias (QRDS)</w:t>
      </w:r>
    </w:p>
    <w:p>
      <w:pPr>
        <w:jc w:val="center"/>
      </w:pPr>
      <w:r>
        <w:rPr>
          <w:rFonts w:ascii="Arial" w:hAnsi="Arial"/>
          <w:b/>
          <w:sz w:val="24"/>
        </w:rPr>
        <w:t>Con Módulo de Bitácoras Municipales</w:t>
      </w:r>
    </w:p>
    <w:p>
      <w:pPr>
        <w:jc w:val="center"/>
      </w:pPr>
      <w:r>
        <w:rPr>
          <w:rFonts w:ascii="Arial" w:hAnsi="Arial"/>
          <w:b/>
          <w:sz w:val="32"/>
        </w:rPr>
        <w:t>Reglas de Negocio</w:t>
      </w:r>
    </w:p>
    <w:p>
      <w:pPr>
        <w:jc w:val="center"/>
      </w:pPr>
      <w:r>
        <w:rPr>
          <w:rFonts w:ascii="Arial" w:hAnsi="Arial"/>
          <w:b/>
          <w:sz w:val="24"/>
        </w:rPr>
        <w:t>Versión 1.0</w:t>
      </w:r>
    </w:p>
    <w:p>
      <w:pPr>
        <w:jc w:val="center"/>
      </w:pPr>
      <w:r>
        <w:rPr>
          <w:rFonts w:ascii="Arial" w:hAnsi="Arial"/>
          <w:b w:val="0"/>
          <w:sz w:val="20"/>
        </w:rPr>
        <w:t>Fecha Elaboración: 15/08/2026</w:t>
      </w:r>
    </w:p>
    <w:p>
      <w:pPr>
        <w:jc w:val="center"/>
      </w:pPr>
      <w:r>
        <w:rPr>
          <w:rFonts w:ascii="Arial" w:hAnsi="Arial"/>
          <w:b w:val="0"/>
          <w:sz w:val="18"/>
        </w:rPr>
        <w:t>Complementa: CU_Reglas_de_Negocio_Casos_de_Uso_Municipalidad_V1.0</w:t>
      </w:r>
    </w:p>
    <w:p>
      <w:pPr>
        <w:spacing w:before="120" w:after="60"/>
      </w:pPr>
      <w:r>
        <w:rPr>
          <w:rFonts w:ascii="Arial" w:hAnsi="Arial"/>
          <w:b/>
          <w:sz w:val="22"/>
        </w:rPr>
        <w:t>Historial de Revisiones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Nombre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Fecha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Descripción del Cambio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Versión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________________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15/08/2026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Definición Inicial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2"/>
        </w:rPr>
        <w:t>1. Introducción</w:t>
      </w:r>
    </w:p>
    <w:p>
      <w:pPr>
        <w:spacing w:before="120" w:after="60"/>
      </w:pPr>
      <w:r>
        <w:rPr>
          <w:rFonts w:ascii="Arial" w:hAnsi="Arial"/>
          <w:b/>
          <w:sz w:val="20"/>
        </w:rPr>
        <w:t>1.1 Objetivo</w:t>
      </w:r>
    </w:p>
    <w:p>
      <w:r>
        <w:rPr>
          <w:rFonts w:ascii="Arial" w:hAnsi="Arial"/>
          <w:b w:val="0"/>
          <w:sz w:val="20"/>
        </w:rPr>
        <w:t>Detallar las reglas generales que rigen la operación del Sistema de Quejas, Reclamos, Denuncias y Sugerencias de la Municipalidad, de acuerdo con los casos de uso definidos para registro, administración, seguimiento, notificaciones, reportes, usuarios, permisos, documentos y auditoría.</w:t>
      </w:r>
    </w:p>
    <w:p>
      <w:pPr>
        <w:spacing w:before="120" w:after="60"/>
      </w:pPr>
      <w:r>
        <w:rPr>
          <w:rFonts w:ascii="Arial" w:hAnsi="Arial"/>
          <w:b/>
          <w:sz w:val="22"/>
        </w:rPr>
        <w:t>2. Definición Caso de Uso</w:t>
      </w:r>
    </w:p>
    <w:p>
      <w:pPr>
        <w:spacing w:before="120" w:after="60"/>
      </w:pPr>
      <w:r>
        <w:rPr>
          <w:rFonts w:ascii="Arial" w:hAnsi="Arial"/>
          <w:b/>
          <w:sz w:val="20"/>
        </w:rPr>
        <w:t>2.1 Actores</w:t>
      </w:r>
    </w:p>
    <w:p>
      <w:r>
        <w:rPr>
          <w:rFonts w:ascii="Arial" w:hAnsi="Arial"/>
          <w:b w:val="0"/>
          <w:sz w:val="20"/>
        </w:rPr>
        <w:t>2.1.1. Ciudadano.</w:t>
      </w:r>
    </w:p>
    <w:p>
      <w:r>
        <w:rPr>
          <w:rFonts w:ascii="Arial" w:hAnsi="Arial"/>
          <w:b w:val="0"/>
          <w:sz w:val="20"/>
        </w:rPr>
        <w:t>2.1.2. Usuario municipal autorizado.</w:t>
      </w:r>
    </w:p>
    <w:p>
      <w:r>
        <w:rPr>
          <w:rFonts w:ascii="Arial" w:hAnsi="Arial"/>
          <w:b w:val="0"/>
          <w:sz w:val="20"/>
        </w:rPr>
        <w:t>2.1.3. Administrador del sistema.</w:t>
      </w:r>
    </w:p>
    <w:p>
      <w:r>
        <w:rPr>
          <w:rFonts w:ascii="Arial" w:hAnsi="Arial"/>
          <w:b w:val="0"/>
          <w:sz w:val="20"/>
        </w:rPr>
        <w:t>2.1.4. Auditor o usuario autorizado.</w:t>
      </w:r>
    </w:p>
    <w:p>
      <w:r>
        <w:rPr>
          <w:rFonts w:ascii="Arial" w:hAnsi="Arial"/>
          <w:b w:val="0"/>
          <w:sz w:val="20"/>
        </w:rPr>
        <w:t>2.1.5. Sistema.</w:t>
      </w:r>
    </w:p>
    <w:p>
      <w:pPr>
        <w:spacing w:before="120" w:after="60"/>
      </w:pPr>
      <w:r>
        <w:rPr>
          <w:rFonts w:ascii="Arial" w:hAnsi="Arial"/>
          <w:b/>
          <w:sz w:val="20"/>
        </w:rPr>
        <w:t>2.2 Precondiciones</w:t>
      </w:r>
    </w:p>
    <w:p>
      <w:r>
        <w:rPr>
          <w:rFonts w:ascii="Arial" w:hAnsi="Arial"/>
          <w:b w:val="0"/>
          <w:sz w:val="20"/>
        </w:rPr>
        <w:t>2.2.1. Que el sistema web se encuentre activo y disponible.</w:t>
      </w:r>
    </w:p>
    <w:p>
      <w:r>
        <w:rPr>
          <w:rFonts w:ascii="Arial" w:hAnsi="Arial"/>
          <w:b w:val="0"/>
          <w:sz w:val="20"/>
        </w:rPr>
        <w:t>2.2.2. Que exista el llamado a una regla de negocio desde uno de los casos de uso.</w:t>
      </w:r>
    </w:p>
    <w:p>
      <w:r>
        <w:rPr>
          <w:rFonts w:ascii="Arial" w:hAnsi="Arial"/>
          <w:b w:val="0"/>
          <w:sz w:val="20"/>
        </w:rPr>
        <w:t>2.2.3. Que los usuarios internos cuenten con una sesión activa y permisos suficientes cuando la operación lo requiera.</w:t>
      </w:r>
    </w:p>
    <w:p>
      <w:pPr>
        <w:spacing w:before="120" w:after="60"/>
      </w:pPr>
      <w:r>
        <w:rPr>
          <w:rFonts w:ascii="Arial" w:hAnsi="Arial"/>
          <w:b/>
          <w:sz w:val="20"/>
        </w:rPr>
        <w:t>2.3 Flujo Normal Básico</w:t>
      </w:r>
    </w:p>
    <w:p>
      <w:r>
        <w:rPr>
          <w:rFonts w:ascii="Arial" w:hAnsi="Arial"/>
          <w:b w:val="0"/>
          <w:sz w:val="20"/>
        </w:rPr>
        <w:t>1. El sistema recibe la operación solicitada desde el caso de uso.</w:t>
      </w:r>
    </w:p>
    <w:p>
      <w:r>
        <w:rPr>
          <w:rFonts w:ascii="Arial" w:hAnsi="Arial"/>
          <w:b w:val="0"/>
          <w:sz w:val="20"/>
        </w:rPr>
        <w:t>2. El sistema identifica las reglas de negocio aplicables.</w:t>
      </w:r>
    </w:p>
    <w:p>
      <w:r>
        <w:rPr>
          <w:rFonts w:ascii="Arial" w:hAnsi="Arial"/>
          <w:b w:val="0"/>
          <w:sz w:val="20"/>
        </w:rPr>
        <w:t>3. El sistema valida datos, estado del caso, permisos y condiciones de la operación.</w:t>
      </w:r>
    </w:p>
    <w:p>
      <w:r>
        <w:rPr>
          <w:rFonts w:ascii="Arial" w:hAnsi="Arial"/>
          <w:b w:val="0"/>
          <w:sz w:val="20"/>
        </w:rPr>
        <w:t>4. El sistema permite o rechaza la operación según el resultado de las validaciones.</w:t>
      </w:r>
    </w:p>
    <w:p>
      <w:r>
        <w:rPr>
          <w:rFonts w:ascii="Arial" w:hAnsi="Arial"/>
          <w:b w:val="0"/>
          <w:sz w:val="20"/>
        </w:rPr>
        <w:t>5. Cuando corresponda, el sistema registra el evento en la bitácora de auditoría.</w:t>
      </w:r>
    </w:p>
    <w:p>
      <w:r>
        <w:rPr>
          <w:rFonts w:ascii="Arial" w:hAnsi="Arial"/>
          <w:b w:val="0"/>
          <w:sz w:val="20"/>
        </w:rPr>
        <w:t>6. El sistema retorna el resultado al caso de uso invocante.</w:t>
      </w:r>
    </w:p>
    <w:p>
      <w:r>
        <w:rPr>
          <w:rFonts w:ascii="Arial" w:hAnsi="Arial"/>
          <w:b w:val="0"/>
          <w:sz w:val="20"/>
        </w:rPr>
        <w:t>7. Fin del Caso de Uso.</w:t>
      </w:r>
    </w:p>
    <w:p>
      <w:pPr>
        <w:spacing w:before="120" w:after="60"/>
      </w:pPr>
      <w:r>
        <w:rPr>
          <w:rFonts w:ascii="Arial" w:hAnsi="Arial"/>
          <w:b/>
          <w:sz w:val="20"/>
        </w:rPr>
        <w:t>2.4 Flujos Alternos</w:t>
      </w:r>
    </w:p>
    <w:p>
      <w:r>
        <w:rPr>
          <w:rFonts w:ascii="Arial" w:hAnsi="Arial"/>
          <w:b w:val="0"/>
          <w:sz w:val="20"/>
        </w:rPr>
        <w:t>FA01: Validación de negocio incumplida. El sistema rechaza la operación, informa la condición que debe corregirse y conserva la información sin cambios.</w:t>
      </w:r>
    </w:p>
    <w:p>
      <w:r>
        <w:rPr>
          <w:rFonts w:ascii="Arial" w:hAnsi="Arial"/>
          <w:b w:val="0"/>
          <w:sz w:val="20"/>
        </w:rPr>
        <w:t>FA02: Operación no autorizada. El sistema impide la acción cuando el usuario no posee los permisos requeridos.</w:t>
      </w:r>
    </w:p>
    <w:p>
      <w:r>
        <w:rPr>
          <w:rFonts w:ascii="Arial" w:hAnsi="Arial"/>
          <w:b w:val="0"/>
          <w:sz w:val="20"/>
        </w:rPr>
        <w:t>FA03: Error de procesamiento. El sistema informa que la operación no pudo completarse y evita registrar cambios parciales.</w:t>
      </w:r>
    </w:p>
    <w:p>
      <w:pPr>
        <w:spacing w:before="120" w:after="60"/>
      </w:pPr>
      <w:r>
        <w:rPr>
          <w:rFonts w:ascii="Arial" w:hAnsi="Arial"/>
          <w:b/>
          <w:sz w:val="20"/>
        </w:rPr>
        <w:t>2.5 Poscondiciones</w:t>
      </w:r>
    </w:p>
    <w:p>
      <w:r>
        <w:rPr>
          <w:rFonts w:ascii="Arial" w:hAnsi="Arial"/>
          <w:b w:val="0"/>
          <w:sz w:val="20"/>
        </w:rPr>
        <w:t>2.5.1. La operación queda ejecutada únicamente cuando cumple las reglas aplicables.</w:t>
      </w:r>
    </w:p>
    <w:p>
      <w:r>
        <w:rPr>
          <w:rFonts w:ascii="Arial" w:hAnsi="Arial"/>
          <w:b w:val="0"/>
          <w:sz w:val="20"/>
        </w:rPr>
        <w:t>2.5.2. Los eventos sujetos a auditoría quedan registrados con la información requerida.</w:t>
      </w:r>
    </w:p>
    <w:p>
      <w:pPr>
        <w:spacing w:before="120" w:after="60"/>
      </w:pPr>
      <w:r>
        <w:rPr>
          <w:rFonts w:ascii="Arial" w:hAnsi="Arial"/>
          <w:b/>
          <w:sz w:val="22"/>
        </w:rPr>
        <w:t>3. Requerimientos Suplementarios o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Descripción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RNF-01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sistema debe validar permisos y reglas de negocio antes de ejecutar operaciones protegidas.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RNF-02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Las operaciones auditables deben conservar trazabilidad de usuario, fecha, hora, IP y descripción del evento.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RNF-03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Los registros de bitácora deben ser inmutables desde las funciones normales de la aplicación.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RNF-04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 consulta y generación de reportes no debe modificar la información utilizada como fuente.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RNF-05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Los errores deben informarse sin comprometer la integridad de los datos.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2"/>
        </w:rPr>
        <w:t>REGLAS DE NEGOCIO</w:t>
      </w:r>
    </w:p>
    <w:p>
      <w:pPr>
        <w:spacing w:before="120" w:after="60"/>
      </w:pPr>
      <w:r>
        <w:rPr>
          <w:rFonts w:ascii="Arial" w:hAnsi="Arial"/>
          <w:b/>
          <w:sz w:val="20"/>
        </w:rPr>
        <w:t>RN01 — Acceso y autenticación</w:t>
      </w:r>
    </w:p>
    <w:p>
      <w:r>
        <w:rPr>
          <w:rFonts w:ascii="Arial" w:hAnsi="Arial"/>
          <w:b w:val="0"/>
          <w:sz w:val="20"/>
        </w:rPr>
        <w:t>Solo los usuarios activos y con credenciales válidas pueden ingresar a las funciones internas. El sistema debe identificar el rol y los permisos del usuario antes de mostrar las funciones disponibles.</w:t>
      </w:r>
    </w:p>
    <w:p>
      <w:pPr>
        <w:spacing w:before="120" w:after="60"/>
      </w:pPr>
      <w:r>
        <w:rPr>
          <w:rFonts w:ascii="Arial" w:hAnsi="Arial"/>
          <w:b/>
          <w:sz w:val="20"/>
        </w:rPr>
        <w:t>RN02 — Control de permisos</w:t>
      </w:r>
    </w:p>
    <w:p>
      <w:r>
        <w:rPr>
          <w:rFonts w:ascii="Arial" w:hAnsi="Arial"/>
          <w:b w:val="0"/>
          <w:sz w:val="20"/>
        </w:rPr>
        <w:t>Toda operación protegida debe validarse contra los permisos del usuario. Una operación no autorizada no debe producir cambios.</w:t>
      </w:r>
    </w:p>
    <w:p>
      <w:pPr>
        <w:spacing w:before="120" w:after="60"/>
      </w:pPr>
      <w:r>
        <w:rPr>
          <w:rFonts w:ascii="Arial" w:hAnsi="Arial"/>
          <w:b/>
          <w:sz w:val="20"/>
        </w:rPr>
        <w:t>RN03 — Registro de casos</w:t>
      </w:r>
    </w:p>
    <w:p>
      <w:r>
        <w:rPr>
          <w:rFonts w:ascii="Arial" w:hAnsi="Arial"/>
          <w:b w:val="0"/>
          <w:sz w:val="20"/>
        </w:rPr>
        <w:t>Todo caso debe clasificarse como queja, reclamo, denuncia o sugerencia. Los datos obligatorios deben estar completos antes de registrar el caso.</w:t>
      </w:r>
    </w:p>
    <w:p>
      <w:pPr>
        <w:spacing w:before="120" w:after="60"/>
      </w:pPr>
      <w:r>
        <w:rPr>
          <w:rFonts w:ascii="Arial" w:hAnsi="Arial"/>
          <w:b/>
          <w:sz w:val="20"/>
        </w:rPr>
        <w:t>RN04 — Identificador de seguimiento</w:t>
      </w:r>
    </w:p>
    <w:p>
      <w:r>
        <w:rPr>
          <w:rFonts w:ascii="Arial" w:hAnsi="Arial"/>
          <w:b w:val="0"/>
          <w:sz w:val="20"/>
        </w:rPr>
        <w:t>Todo caso registrado correctamente debe recibir un identificador único que permita localizarlo y consultar su seguimiento.</w:t>
      </w:r>
    </w:p>
    <w:p>
      <w:pPr>
        <w:spacing w:before="120" w:after="60"/>
      </w:pPr>
      <w:r>
        <w:rPr>
          <w:rFonts w:ascii="Arial" w:hAnsi="Arial"/>
          <w:b/>
          <w:sz w:val="20"/>
        </w:rPr>
        <w:t>RN05 — Modificación de casos</w:t>
      </w:r>
    </w:p>
    <w:p>
      <w:r>
        <w:rPr>
          <w:rFonts w:ascii="Arial" w:hAnsi="Arial"/>
          <w:b w:val="0"/>
          <w:sz w:val="20"/>
        </w:rPr>
        <w:t>Solo los usuarios autorizados pueden modificar un caso. El caso debe existir y encontrarse habilitado para modificación. Toda modificación debe conservar trazabilidad.</w:t>
      </w:r>
    </w:p>
    <w:p>
      <w:pPr>
        <w:spacing w:before="120" w:after="60"/>
      </w:pPr>
      <w:r>
        <w:rPr>
          <w:rFonts w:ascii="Arial" w:hAnsi="Arial"/>
          <w:b/>
          <w:sz w:val="20"/>
        </w:rPr>
        <w:t>RN06 — Cierre de casos</w:t>
      </w:r>
    </w:p>
    <w:p>
      <w:r>
        <w:rPr>
          <w:rFonts w:ascii="Arial" w:hAnsi="Arial"/>
          <w:b w:val="0"/>
          <w:sz w:val="20"/>
        </w:rPr>
        <w:t>Solo un usuario con permiso de cierre puede cerrar un caso. Un caso cerrado debe conservar su información e historial y no debe ser modificado mediante operaciones no autorizadas.</w:t>
      </w:r>
    </w:p>
    <w:p>
      <w:pPr>
        <w:spacing w:before="120" w:after="60"/>
      </w:pPr>
      <w:r>
        <w:rPr>
          <w:rFonts w:ascii="Arial" w:hAnsi="Arial"/>
          <w:b/>
          <w:sz w:val="20"/>
        </w:rPr>
        <w:t>RN07 — Documentos adjuntos</w:t>
      </w:r>
    </w:p>
    <w:p>
      <w:r>
        <w:rPr>
          <w:rFonts w:ascii="Arial" w:hAnsi="Arial"/>
          <w:b w:val="0"/>
          <w:sz w:val="20"/>
        </w:rPr>
        <w:t>Los documentos solo pueden asociarse a casos existentes y cuando la operación esté permitida. Los archivos deben superar las validaciones configuradas antes de almacenarse.</w:t>
      </w:r>
    </w:p>
    <w:p>
      <w:pPr>
        <w:spacing w:before="120" w:after="60"/>
      </w:pPr>
      <w:r>
        <w:rPr>
          <w:rFonts w:ascii="Arial" w:hAnsi="Arial"/>
          <w:b/>
          <w:sz w:val="20"/>
        </w:rPr>
        <w:t>RN08 — Descarga de documentos</w:t>
      </w:r>
    </w:p>
    <w:p>
      <w:r>
        <w:rPr>
          <w:rFonts w:ascii="Arial" w:hAnsi="Arial"/>
          <w:b w:val="0"/>
          <w:sz w:val="20"/>
        </w:rPr>
        <w:t>Solo usuarios autorizados pueden descargar documentos asociados a un caso. La descarga debe registrarse en bitácora.</w:t>
      </w:r>
    </w:p>
    <w:p>
      <w:pPr>
        <w:spacing w:before="120" w:after="60"/>
      </w:pPr>
      <w:r>
        <w:rPr>
          <w:rFonts w:ascii="Arial" w:hAnsi="Arial"/>
          <w:b/>
          <w:sz w:val="20"/>
        </w:rPr>
        <w:t>RN09 — Seguimiento</w:t>
      </w:r>
    </w:p>
    <w:p>
      <w:r>
        <w:rPr>
          <w:rFonts w:ascii="Arial" w:hAnsi="Arial"/>
          <w:b w:val="0"/>
          <w:sz w:val="20"/>
        </w:rPr>
        <w:t>La consulta de seguimiento requiere un identificador o mecanismo autorizado. Solo debe mostrarse la información permitida para el tipo de usuario que consulta.</w:t>
      </w:r>
    </w:p>
    <w:p>
      <w:pPr>
        <w:spacing w:before="120" w:after="60"/>
      </w:pPr>
      <w:r>
        <w:rPr>
          <w:rFonts w:ascii="Arial" w:hAnsi="Arial"/>
          <w:b/>
          <w:sz w:val="20"/>
        </w:rPr>
        <w:t>RN10 — Notificaciones</w:t>
      </w:r>
    </w:p>
    <w:p>
      <w:r>
        <w:rPr>
          <w:rFonts w:ascii="Arial" w:hAnsi="Arial"/>
          <w:b w:val="0"/>
          <w:sz w:val="20"/>
        </w:rPr>
        <w:t>Las notificaciones deben generarse únicamente para eventos configurados y destinatarios válidos. El resultado del envío debe quedar asociado al seguimiento cuando corresponda.</w:t>
      </w:r>
    </w:p>
    <w:p>
      <w:pPr>
        <w:spacing w:before="120" w:after="60"/>
      </w:pPr>
      <w:r>
        <w:rPr>
          <w:rFonts w:ascii="Arial" w:hAnsi="Arial"/>
          <w:b/>
          <w:sz w:val="20"/>
        </w:rPr>
        <w:t>RN11 — Administración de usuarios</w:t>
      </w:r>
    </w:p>
    <w:p>
      <w:r>
        <w:rPr>
          <w:rFonts w:ascii="Arial" w:hAnsi="Arial"/>
          <w:b w:val="0"/>
          <w:sz w:val="20"/>
        </w:rPr>
        <w:t>Solo el administrador autorizado puede crear, modificar o cambiar el estado de usuarios. Los datos deben ser válidos antes de guardar cambios.</w:t>
      </w:r>
    </w:p>
    <w:p>
      <w:pPr>
        <w:spacing w:before="120" w:after="60"/>
      </w:pPr>
      <w:r>
        <w:rPr>
          <w:rFonts w:ascii="Arial" w:hAnsi="Arial"/>
          <w:b/>
          <w:sz w:val="20"/>
        </w:rPr>
        <w:t>RN12 — Roles y permisos</w:t>
      </w:r>
    </w:p>
    <w:p>
      <w:r>
        <w:rPr>
          <w:rFonts w:ascii="Arial" w:hAnsi="Arial"/>
          <w:b w:val="0"/>
          <w:sz w:val="20"/>
        </w:rPr>
        <w:t>Solo el administrador autorizado puede agregar, retirar o modificar roles y permisos. Las configuraciones inválidas deben rechazarse sin alterar la configuración vigente.</w:t>
      </w:r>
    </w:p>
    <w:p>
      <w:pPr>
        <w:spacing w:before="120" w:after="60"/>
      </w:pPr>
      <w:r>
        <w:rPr>
          <w:rFonts w:ascii="Arial" w:hAnsi="Arial"/>
          <w:b/>
          <w:sz w:val="20"/>
        </w:rPr>
        <w:t>RN13 — Reportes</w:t>
      </w:r>
    </w:p>
    <w:p>
      <w:r>
        <w:rPr>
          <w:rFonts w:ascii="Arial" w:hAnsi="Arial"/>
          <w:b w:val="0"/>
          <w:sz w:val="20"/>
        </w:rPr>
        <w:t>Los reportes deben generarse con criterios válidos y únicamente con información a la que el usuario tenga acceso. Su generación no modifica los datos fuente.</w:t>
      </w:r>
    </w:p>
    <w:p>
      <w:pPr>
        <w:spacing w:before="120" w:after="60"/>
      </w:pPr>
      <w:r>
        <w:rPr>
          <w:rFonts w:ascii="Arial" w:hAnsi="Arial"/>
          <w:b/>
          <w:sz w:val="20"/>
        </w:rPr>
        <w:t>RN14 — Bitácora de auditoría</w:t>
      </w:r>
    </w:p>
    <w:p>
      <w:r>
        <w:rPr>
          <w:rFonts w:ascii="Arial" w:hAnsi="Arial"/>
          <w:b w:val="0"/>
          <w:sz w:val="20"/>
        </w:rPr>
        <w:t>Deben registrarse como mínimo los inicios y cierres de sesión, creación/modificación/cierre de casos, cambios de usuarios y permisos, y carga/descarga de documentos.</w:t>
      </w:r>
    </w:p>
    <w:p>
      <w:pPr>
        <w:spacing w:before="120" w:after="60"/>
      </w:pPr>
      <w:r>
        <w:rPr>
          <w:rFonts w:ascii="Arial" w:hAnsi="Arial"/>
          <w:b/>
          <w:sz w:val="20"/>
        </w:rPr>
        <w:t>RN15 — Datos mínimos de bitácora</w:t>
      </w:r>
    </w:p>
    <w:p>
      <w:r>
        <w:rPr>
          <w:rFonts w:ascii="Arial" w:hAnsi="Arial"/>
          <w:b w:val="0"/>
          <w:sz w:val="20"/>
        </w:rPr>
        <w:t>Cada evento auditado debe almacenar usuario, fecha, hora, IP y descripción del evento.</w:t>
      </w:r>
    </w:p>
    <w:p>
      <w:pPr>
        <w:spacing w:before="120" w:after="60"/>
      </w:pPr>
      <w:r>
        <w:rPr>
          <w:rFonts w:ascii="Arial" w:hAnsi="Arial"/>
          <w:b/>
          <w:sz w:val="20"/>
        </w:rPr>
        <w:t>RN16 — Inmutabilidad de bitácoras</w:t>
      </w:r>
    </w:p>
    <w:p>
      <w:r>
        <w:rPr>
          <w:rFonts w:ascii="Arial" w:hAnsi="Arial"/>
          <w:b w:val="0"/>
          <w:sz w:val="20"/>
        </w:rPr>
        <w:t>Los registros de bitácora no pueden ser modificados ni eliminados desde las funciones de la aplicación.</w:t>
      </w:r>
    </w:p>
    <w:p>
      <w:pPr>
        <w:spacing w:before="120" w:after="60"/>
      </w:pPr>
      <w:r>
        <w:rPr>
          <w:rFonts w:ascii="Arial" w:hAnsi="Arial"/>
          <w:b/>
          <w:sz w:val="20"/>
        </w:rPr>
        <w:t>RN17 — Consulta de auditoría</w:t>
      </w:r>
    </w:p>
    <w:p>
      <w:r>
        <w:rPr>
          <w:rFonts w:ascii="Arial" w:hAnsi="Arial"/>
          <w:b w:val="0"/>
          <w:sz w:val="20"/>
        </w:rPr>
        <w:t>Solo usuarios con permisos de auditoría pueden consultar bitácoras y generar reportes de auditoría.</w:t>
      </w:r>
    </w:p>
    <w:p>
      <w:pPr>
        <w:spacing w:before="120" w:after="60"/>
      </w:pPr>
      <w:r>
        <w:rPr>
          <w:rFonts w:ascii="Arial" w:hAnsi="Arial"/>
          <w:b/>
          <w:sz w:val="20"/>
        </w:rPr>
        <w:t>RN18 — Registro público</w:t>
      </w:r>
    </w:p>
    <w:p>
      <w:r>
        <w:rPr>
          <w:rFonts w:ascii="Arial" w:hAnsi="Arial"/>
          <w:b w:val="0"/>
          <w:sz w:val="20"/>
        </w:rPr>
        <w:t>El registro de una queja, reclamo, denuncia o sugerencia desde el portal público no requiere autenticación.</w:t>
      </w:r>
    </w:p>
    <w:p>
      <w:pPr>
        <w:spacing w:before="120" w:after="60"/>
      </w:pPr>
      <w:r>
        <w:rPr>
          <w:rFonts w:ascii="Arial" w:hAnsi="Arial"/>
          <w:b/>
          <w:sz w:val="20"/>
        </w:rPr>
        <w:t>RN19 — Registro anónimo</w:t>
      </w:r>
    </w:p>
    <w:p>
      <w:r>
        <w:rPr>
          <w:rFonts w:ascii="Arial" w:hAnsi="Arial"/>
          <w:b w:val="0"/>
          <w:sz w:val="20"/>
        </w:rPr>
        <w:t>El sistema permite presentar una queja de forma anónima. Cuando el registro es anónimo, los datos de identificación del ciudadano no son obligatorios.</w:t>
      </w:r>
    </w:p>
    <w:p>
      <w:pPr>
        <w:spacing w:before="120" w:after="60"/>
      </w:pPr>
      <w:r>
        <w:rPr>
          <w:rFonts w:ascii="Arial" w:hAnsi="Arial"/>
          <w:b/>
          <w:sz w:val="20"/>
        </w:rPr>
        <w:t>RN20 — Datos del registro público</w:t>
      </w:r>
    </w:p>
    <w:p>
      <w:r>
        <w:rPr>
          <w:rFonts w:ascii="Arial" w:hAnsi="Arial"/>
          <w:b w:val="0"/>
          <w:sz w:val="20"/>
        </w:rPr>
        <w:t>El formulario de registro público solicita nombre completo, correo electrónico, teléfono, área o dependencia y descripción del caso. El teléfono es opcional. Nombre completo, correo electrónico, área o dependencia y descripción son obligatorios cuando el caso no es anónimo.</w:t>
      </w:r>
    </w:p>
    <w:p>
      <w:pPr>
        <w:spacing w:before="120" w:after="60"/>
      </w:pPr>
      <w:r>
        <w:rPr>
          <w:rFonts w:ascii="Arial" w:hAnsi="Arial"/>
          <w:b/>
          <w:sz w:val="20"/>
        </w:rPr>
        <w:t>RN21 — Aviso de privacidad</w:t>
      </w:r>
    </w:p>
    <w:p>
      <w:r>
        <w:rPr>
          <w:rFonts w:ascii="Arial" w:hAnsi="Arial"/>
          <w:b w:val="0"/>
          <w:sz w:val="20"/>
        </w:rPr>
        <w:t>El ciudadano debe aceptar el aviso de privacidad para enviar el caso. Sin esa aceptación, el sistema no registra el caso.</w:t>
      </w:r>
    </w:p>
    <w:p>
      <w:pPr>
        <w:spacing w:before="120" w:after="60"/>
      </w:pPr>
      <w:r>
        <w:rPr>
          <w:rFonts w:ascii="Arial" w:hAnsi="Arial"/>
          <w:b/>
          <w:sz w:val="20"/>
        </w:rPr>
        <w:t>RN22 — Sistema de verificación</w:t>
      </w:r>
    </w:p>
    <w:p>
      <w:r>
        <w:rPr>
          <w:rFonts w:ascii="Arial" w:hAnsi="Arial"/>
          <w:b w:val="0"/>
          <w:sz w:val="20"/>
        </w:rPr>
        <w:t>El envío del caso requiere superar el sistema de verificación. Si la verificación no es válida, el caso no se registra.</w:t>
      </w:r>
    </w:p>
    <w:p>
      <w:pPr>
        <w:spacing w:before="120" w:after="60"/>
      </w:pPr>
      <w:r>
        <w:rPr>
          <w:rFonts w:ascii="Arial" w:hAnsi="Arial"/>
          <w:b/>
          <w:sz w:val="20"/>
        </w:rPr>
        <w:t>RN23 — Formato del código de seguimiento</w:t>
      </w:r>
    </w:p>
    <w:p>
      <w:r>
        <w:rPr>
          <w:rFonts w:ascii="Arial" w:hAnsi="Arial"/>
          <w:b w:val="0"/>
          <w:sz w:val="20"/>
        </w:rPr>
        <w:t>Al finalizar el registro, el sistema asigna un código de seguimiento único con formato tipo-año-correlativo, por ejemplo Q-2026-00001.</w:t>
      </w:r>
    </w:p>
    <w:p>
      <w:pPr>
        <w:spacing w:before="120" w:after="60"/>
      </w:pPr>
      <w:r>
        <w:rPr>
          <w:rFonts w:ascii="Arial" w:hAnsi="Arial"/>
          <w:b/>
          <w:sz w:val="20"/>
        </w:rPr>
        <w:t>RN24 — Documentos de soporte en el registro</w:t>
      </w:r>
    </w:p>
    <w:p>
      <w:r>
        <w:rPr>
          <w:rFonts w:ascii="Arial" w:hAnsi="Arial"/>
          <w:b w:val="0"/>
          <w:sz w:val="20"/>
        </w:rPr>
        <w:t>Los documentos de soporte en el registro público son opcionales. Si se adjuntan, deben cumplir las validaciones establecidas para documentos.</w:t>
      </w:r>
    </w:p>
    <w:p>
      <w:pPr>
        <w:spacing w:before="120" w:after="60"/>
      </w:pPr>
      <w:r>
        <w:rPr>
          <w:rFonts w:ascii="Arial" w:hAnsi="Arial"/>
          <w:b/>
          <w:sz w:val="22"/>
        </w:rPr>
        <w:t>4. Firmas Necesarias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Persona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Sector / Rol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Firma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________________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Desarrollador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________________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Analista de Sistemas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________________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Responsable Institucional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sectPr w:rsidRPr="0006063C" w:rsidR="00FC693F" w:rsidSect="00034616">
      <w:pgSz w:w="12240" w:h="15840" w:orient="portrait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30381A"/>
    <w:rsid w:val="7A40E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4A6DD87-52CF-4DC1-B746-3334332F54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2314719 - BRYAN ROLANDO CRISTALES PEREZ</lastModifiedBy>
  <revision>2</revision>
  <dcterms:created xsi:type="dcterms:W3CDTF">2013-12-23T23:15:00.0000000Z</dcterms:created>
  <dcterms:modified xsi:type="dcterms:W3CDTF">2026-08-15T04:52:10.4642721Z</dcterms:modified>
  <category/>
</coreProperties>
</file>