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Registrar Queja, Reclamo, Denuncia o Sugerencia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>
        <w:tc>
          <w:tcPr>
            <w:tcW w:type="dxa" w:w="2160"/>
          </w:tcPr>
          <w:p>
            <w:r>
              <w:t>Revisión</w:t>
            </w:r>
          </w:p>
        </w:tc>
        <w:tc>
          <w:tcPr>
            <w:tcW w:type="dxa" w:w="1350"/>
          </w:tcPr>
          <w:p>
            <w:r>
              <w:t>22/08/2026</w:t>
            </w:r>
          </w:p>
        </w:tc>
        <w:tc>
          <w:tcPr>
            <w:tcW w:type="dxa" w:w="3969"/>
          </w:tcPr>
          <w:p>
            <w:r>
              <w:t>Alineación de RN específicas según documento de Reglas de Negocio de Casos de Uso</w:t>
            </w:r>
          </w:p>
        </w:tc>
        <w:tc>
          <w:tcPr>
            <w:tcW w:type="dxa" w:w="1134"/>
          </w:tcPr>
          <w:p>
            <w:r>
              <w:t>1.0</w:t>
            </w: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el registro de una queja, reclamo, denuncia o sugerencia dentro del sistema municipal.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Ciudadano.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2.1.3. Usuario municipal autorizado.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el sistema web se encuentre activo y disponible.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el ciudadano tenga acceso al formulario de registro del caso.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ciudadano accede a la opción para registrar un nuevo caso.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el formulario de registro.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ciudadano selecciona el tipo de caso: queja, reclamo, denuncia o sugerencia. RN03.1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ciudadano ingresa la información solicitada para describir el caso.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ciudadano adjunta documentos cuando corresponda.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ciudadano confirma el envío de la información.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que los datos obligatorios hayan sido ingresados. RN03.2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crea el caso y genera un identificador para su seguimiento. RN03.3</w:t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en bitácora la creación del caso y muestra la confirmación del registro. RN03.4</w:t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Datos obligatorios incompletos RN03.2</w:t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identifica los datos obligatorios faltantes y muestra un mensaje al ciudadano. RN03.2</w:t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formulario para que el ciudadano complete la información.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Error al registrar el caso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no fue posible guardar el caso.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conserva la información disponible y permite intentar nuevamente.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El caso queda registrado en el sistema con un identificador de seguimiento y con trazabilidad de su creación.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Ver Documento: CU_Reglas_de_Negocio_Casos_de_Uso_Municipalidad_V1.0. Regla aplicable: RN03 — CU-03 Registrar Queja, Reclamo, Denuncia o Sugerencia (RN03.1, RN03.2, RN03.3 y RN03.4).</w:t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0003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