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Consultar Seguimiento de Caso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consulta del estado y seguimiento de un caso registrado en el sistema municipal.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Ciudadano o usuario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exista un caso registrado en el sistema. RN05.1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2.2.2. Que el usuario disponga del identificador o mecanismo autorizado para consultar el caso. RN05.2</w:t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 la opción de seguimiento.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solicita los datos necesarios para localizar el caso.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ingresa el identificador o los datos de consulta.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solicita la búsqueda.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sistema valida la información proporcionada.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localiza el caso correspondiente y valida su existencia. RN05.1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consulta el estado y la información de seguimiento disponible.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al usuario únicamente la información permitida y la consulta no modifica el caso. RN05.3</w:t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revisa la información presentada.</w:t>
      </w:r>
      <w:r w:rsidR="00762303">
        <w:rPr>
          <w:rFonts w:ascii="Arial" w:hAnsi="Arial" w:cs="Arial"/>
          <w:sz w:val="20"/>
          <w:szCs w:val="20"/>
          <w:lang w:val="es-ES_tradnl"/>
        </w:rPr>
      </w:r>
      <w:r w:rsidR="00762303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Caso no encontrado RN05.1</w:t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no existe un caso asociado a los datos de búsqueda ingresados.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permite realizar una nueva consulta.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Datos de consulta inválidos RN05.2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los datos ingresados no permiten realizar la consulta.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regresa a la captura de datos de seguimiento.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La información de seguimiento del caso queda disponible para consulta sin alterar el registro del caso.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RN05 — CU-05 Consultar Seguimiento de Caso (RN05.1, RN05.2 y RN05.3).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0005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