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Modificar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modificación autorizada de la información de un caso y el registro de dicha operación en la bitácora.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tenga permiso para modificar casos. RN07.2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2.2.2. Que el caso exista y se encuentre habilitado para modificación. RN07.1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caso que desea modificar.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vigente del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“Modificar”; el sistema valida que tenga permiso para hacerlo. RN07.2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habilita los datos permitidos para edición.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realiza los cambios correspondientes.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modificación.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la información ingresada antes de guardar y actualiza el caso. RN07.3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modificación realizada. RN07.3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inválidos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datos que no cumplen las validaciones requeridas.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de modificación para su corrección.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Caso no modificable RN07.1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estado actual del caso no permite la modificación solicitada.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original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autorizada del caso queda actualizada y la modificación queda registrada en la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RN07 — CU-07 Modificar Caso (RN07.1, RN07.2 y RN07.3).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0007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