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Gestionar Notificaciones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generación y envío de notificaciones relacionadas con la gestión y seguimiento de los casos.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Sistema.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Usuario municipal autorizado.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2.1.3. Ciudadano destinatario.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exista un caso registrado y un evento configurado que requiera una notificación. RN09.1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2.2.2. Que exista información válida del destinatario cuando la notificación lo requiera. RN09.2</w:t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identifica un evento configurado del caso que requiere notificación. RN09.1</w:t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obtiene la información permitida del caso y del destinatario.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prepara el contenido de la notificación.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usuario autorizado revisa o confirma la notificación cuando corresponda.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exista un destinatario válido cuando corresponda. RN09.2</w:t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envía la notificación por el medio configurado.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el resultado del envío. RN09.3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asocia el resultado al seguimiento del caso cuando corresponda. RN09.3</w:t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destinatario recibe la notificación con la información permitida.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Destinatario no disponible RN09.2</w:t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identifica que no existe información suficiente para enviar la notificación. RN09.2</w:t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el resultado y lo asocia al seguimiento cuando corresponda. RN09.3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Error de envío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que el envío no pudo completarse. RN09.3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t>El sistema permite reintentar la notificación de acuerdo con la configuración disponible.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resultado de la notificación queda registrado y asociado al seguimiento del caso cuando corresponda. RN09.3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RN09 — CU-09 Gestionar Notificaciones (RN09.1, RN09.2 y RN09.3).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0009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