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Administrar Usuarios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>
        <w:tc>
          <w:tcPr>
            <w:tcW w:type="dxa" w:w="2160"/>
          </w:tcPr>
          <w:p>
            <w:r>
              <w:t>Revisión</w:t>
            </w:r>
          </w:p>
        </w:tc>
        <w:tc>
          <w:tcPr>
            <w:tcW w:type="dxa" w:w="1350"/>
          </w:tcPr>
          <w:p>
            <w:r>
              <w:t>22/08/2026</w:t>
            </w:r>
          </w:p>
        </w:tc>
        <w:tc>
          <w:tcPr>
            <w:tcW w:type="dxa" w:w="3969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1134"/>
          </w:tcPr>
          <w:p>
            <w:r>
              <w:t>1.0</w:t>
            </w: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administración de usuarios del sistema municipal y registrar sus cambios para efectos de auditoría.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Administrador del sistema.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2.2.1. Que el administrador haya iniciado sesión y esté autorizado para gestionar usuarios. RN11.1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sistema se encuentre disponible para gestionar usuarios.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administrador autorizado ingresa al módulo de Administración. RN11.1</w:t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opción de gestión de usuarios.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administrador consulta, crea o selecciona un usuario existente.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datos y acciones disponibles para el usuario.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administrador ingresa o modifica la información permitida.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administrador confirma la operación seleccionada.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los datos y permisos del administrador.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guarda la creación, modificación o cambio de estado del usuario.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el cambio realizado sobre el usuario. RN11.3</w:t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Datos de usuario inválidos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los datos que deben ser corregidos.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formulario para que el administrador complete o corrija la información.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Operación no permitida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la operación solicitada no puede ejecutarse.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conserva la información del usuario sin cambios.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La información del usuario queda actualizada según la operación realizada y el cambio queda registrado en bitácora.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 Documento: CU_Reglas_de_Negocio_Casos_de_Uso_Municipalidad_V1.0. Regla aplicable: RN11 — CU-11 Administrar Usuarios (RN11.1, RN11.2 y RN11.3).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0011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