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Modificar Caso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modificación autorizada de la información de un caso y el registro de dicha operación en la bitácora.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tenga permiso para modificar casos.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caso exista y se encuentre habilitado para modificación.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módulo de Administración de Casos.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el caso que desea modificar.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información vigente del caso.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opción “Modificar”.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habilita los datos permitidos para edición.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realiza los cambios correspondientes.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confirma la modificación.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la información ingresada y actualiza el caso.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la modificación con usuario, fecha, hora, IP y descripción del evento.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Datos inválidos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los datos que no cumplen las validaciones requeridas.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formulario de modificación para su corrección.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Caso no modificable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estado actual del caso no permite la modificación solicitada.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la información original sin cambios.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La información autorizada del caso queda actualizada y la modificación queda registrada en la bitácora.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0007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