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904237" w:rsidRPr="00794979" w:rsidRDefault="0080086E" w:rsidP="00794979">
      <w:pPr>
        <w:spacing w:line="360" w:lineRule="auto"/>
        <w:jc w:val="center"/>
        <w:rPr>
          <w:b/>
          <w:sz w:val="28"/>
          <w:szCs w:val="28"/>
        </w:rPr>
      </w:pPr>
      <w:r w:rsidRPr="00794979">
        <w:rPr>
          <w:b/>
          <w:sz w:val="28"/>
          <w:szCs w:val="28"/>
        </w:rPr>
        <w:t>Лабораторная работа № 6</w:t>
      </w:r>
    </w:p>
    <w:p w:rsidR="00904237" w:rsidRPr="002A4F1E" w:rsidRDefault="002A4F1E" w:rsidP="00794979">
      <w:pPr>
        <w:jc w:val="center"/>
        <w:rPr>
          <w:b/>
          <w:sz w:val="28"/>
          <w:szCs w:val="28"/>
        </w:rPr>
      </w:pPr>
      <w:r w:rsidRPr="002A4F1E">
        <w:rPr>
          <w:b/>
          <w:sz w:val="28"/>
          <w:szCs w:val="28"/>
        </w:rPr>
        <w:t>ИССЛЕДОВАНИЕ УСТОЙЧИВОСТИ СИСТЕМ АВТОМАТИЧЕСКОГО УПРАВЛЕНИЯ МЕТОДОМ НАЙКВИСТА</w:t>
      </w:r>
    </w:p>
    <w:p w:rsidR="00904237" w:rsidRDefault="00904237">
      <w:pPr>
        <w:jc w:val="center"/>
      </w:pPr>
    </w:p>
    <w:p w:rsidR="00904237" w:rsidRPr="00964026" w:rsidRDefault="0080086E">
      <w:pPr>
        <w:rPr>
          <w:sz w:val="24"/>
          <w:szCs w:val="24"/>
        </w:rPr>
      </w:pPr>
      <w:r w:rsidRPr="00964026">
        <w:rPr>
          <w:sz w:val="24"/>
          <w:szCs w:val="24"/>
        </w:rPr>
        <w:t>Таблица 1. Варианты параметров систем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269"/>
        <w:gridCol w:w="2551"/>
        <w:gridCol w:w="826"/>
        <w:gridCol w:w="1856"/>
      </w:tblGrid>
      <w:tr w:rsidR="00904237" w:rsidTr="009D4D91">
        <w:trPr>
          <w:jc w:val="center"/>
        </w:trPr>
        <w:tc>
          <w:tcPr>
            <w:tcW w:w="1269" w:type="dxa"/>
            <w:vAlign w:val="center"/>
          </w:tcPr>
          <w:p w:rsidR="00904237" w:rsidRDefault="0080086E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</w:t>
            </w:r>
          </w:p>
        </w:tc>
        <w:tc>
          <w:tcPr>
            <w:tcW w:w="2551" w:type="dxa"/>
            <w:vAlign w:val="center"/>
          </w:tcPr>
          <w:p w:rsidR="00904237" w:rsidRDefault="0080086E">
            <w:pPr>
              <w:snapToGrid w:val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  <w:lang w:val="en-US"/>
              </w:rPr>
              <w:t>W</w:t>
            </w:r>
            <w:r>
              <w:rPr>
                <w:i/>
                <w:iCs/>
                <w:sz w:val="28"/>
                <w:szCs w:val="28"/>
                <w:vertAlign w:val="subscript"/>
              </w:rPr>
              <w:t>0</w:t>
            </w:r>
            <w:r>
              <w:rPr>
                <w:i/>
                <w:iCs/>
                <w:sz w:val="28"/>
                <w:szCs w:val="28"/>
              </w:rPr>
              <w:t>(</w:t>
            </w:r>
            <w:r>
              <w:rPr>
                <w:i/>
                <w:iCs/>
                <w:sz w:val="28"/>
                <w:szCs w:val="28"/>
                <w:lang w:val="en-US"/>
              </w:rPr>
              <w:t>p</w:t>
            </w:r>
            <w:r>
              <w:rPr>
                <w:i/>
                <w:iCs/>
                <w:sz w:val="28"/>
                <w:szCs w:val="28"/>
              </w:rPr>
              <w:t>)</w:t>
            </w:r>
          </w:p>
        </w:tc>
        <w:tc>
          <w:tcPr>
            <w:tcW w:w="826" w:type="dxa"/>
            <w:vAlign w:val="center"/>
          </w:tcPr>
          <w:p w:rsidR="00904237" w:rsidRDefault="0080086E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</w:t>
            </w:r>
          </w:p>
        </w:tc>
        <w:tc>
          <w:tcPr>
            <w:tcW w:w="1856" w:type="dxa"/>
            <w:vAlign w:val="center"/>
          </w:tcPr>
          <w:p w:rsidR="00904237" w:rsidRDefault="0080086E">
            <w:pPr>
              <w:snapToGrid w:val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  <w:lang w:val="en-US"/>
              </w:rPr>
              <w:t>W</w:t>
            </w:r>
            <w:r>
              <w:rPr>
                <w:i/>
                <w:iCs/>
                <w:sz w:val="28"/>
                <w:szCs w:val="28"/>
                <w:vertAlign w:val="subscript"/>
              </w:rPr>
              <w:t>0</w:t>
            </w:r>
            <w:r>
              <w:rPr>
                <w:i/>
                <w:iCs/>
                <w:sz w:val="28"/>
                <w:szCs w:val="28"/>
              </w:rPr>
              <w:t>(</w:t>
            </w:r>
            <w:r>
              <w:rPr>
                <w:i/>
                <w:iCs/>
                <w:sz w:val="28"/>
                <w:szCs w:val="28"/>
                <w:lang w:val="en-US"/>
              </w:rPr>
              <w:t>p</w:t>
            </w:r>
            <w:r>
              <w:rPr>
                <w:i/>
                <w:iCs/>
                <w:sz w:val="28"/>
                <w:szCs w:val="28"/>
              </w:rPr>
              <w:t>)</w:t>
            </w:r>
          </w:p>
        </w:tc>
      </w:tr>
      <w:tr w:rsidR="00904237" w:rsidTr="009D4D91">
        <w:trPr>
          <w:trHeight w:hRule="exact" w:val="737"/>
          <w:jc w:val="center"/>
        </w:trPr>
        <w:tc>
          <w:tcPr>
            <w:tcW w:w="1269" w:type="dxa"/>
            <w:vAlign w:val="center"/>
          </w:tcPr>
          <w:p w:rsidR="00904237" w:rsidRDefault="0080086E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1" w:type="dxa"/>
            <w:vAlign w:val="center"/>
          </w:tcPr>
          <w:p w:rsidR="00904237" w:rsidRDefault="0080086E">
            <w:pPr>
              <w:snapToGrid w:val="0"/>
              <w:jc w:val="center"/>
            </w:pPr>
            <w:r w:rsidRPr="00904237">
              <w:rPr>
                <w:position w:val="-28"/>
              </w:rPr>
              <w:object w:dxaOrig="1840" w:dyaOrig="65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1" o:spid="_x0000_i1025" type="#_x0000_t75" style="width:92.25pt;height:33pt;mso-wrap-style:square;mso-position-horizontal-relative:page;mso-position-vertical-relative:page" o:ole="" filled="t">
                  <v:fill color2="black"/>
                  <v:imagedata r:id="rId8" o:title=""/>
                </v:shape>
                <o:OLEObject Type="Embed" ProgID="Equation.DSMT4" ShapeID="Object 1" DrawAspect="Content" ObjectID="_1642858984" r:id="rId9"/>
              </w:object>
            </w:r>
          </w:p>
        </w:tc>
        <w:tc>
          <w:tcPr>
            <w:tcW w:w="826" w:type="dxa"/>
            <w:vAlign w:val="center"/>
          </w:tcPr>
          <w:p w:rsidR="00904237" w:rsidRDefault="0080086E">
            <w:pPr>
              <w:snapToGrid w:val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7</w:t>
            </w:r>
          </w:p>
        </w:tc>
        <w:tc>
          <w:tcPr>
            <w:tcW w:w="1856" w:type="dxa"/>
            <w:vAlign w:val="center"/>
          </w:tcPr>
          <w:p w:rsidR="00904237" w:rsidRDefault="0080086E">
            <w:pPr>
              <w:snapToGrid w:val="0"/>
              <w:jc w:val="center"/>
            </w:pPr>
            <w:r w:rsidRPr="00904237">
              <w:rPr>
                <w:position w:val="-28"/>
              </w:rPr>
              <w:object w:dxaOrig="2180" w:dyaOrig="659">
                <v:shape id="Object 2" o:spid="_x0000_i1026" type="#_x0000_t75" style="width:80.25pt;height:24pt;mso-wrap-style:square;mso-position-horizontal-relative:page;mso-position-vertical-relative:page" o:ole="" filled="t">
                  <v:fill color2="black"/>
                  <v:imagedata r:id="rId10" o:title=""/>
                </v:shape>
                <o:OLEObject Type="Embed" ProgID="Equation.DSMT4" ShapeID="Object 2" DrawAspect="Content" ObjectID="_1642858985" r:id="rId11"/>
              </w:object>
            </w:r>
          </w:p>
        </w:tc>
      </w:tr>
      <w:tr w:rsidR="00904237" w:rsidTr="009D4D91">
        <w:trPr>
          <w:trHeight w:hRule="exact" w:val="737"/>
          <w:jc w:val="center"/>
        </w:trPr>
        <w:tc>
          <w:tcPr>
            <w:tcW w:w="1269" w:type="dxa"/>
            <w:vAlign w:val="center"/>
          </w:tcPr>
          <w:p w:rsidR="00904237" w:rsidRDefault="0080086E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551" w:type="dxa"/>
            <w:vAlign w:val="center"/>
          </w:tcPr>
          <w:p w:rsidR="00904237" w:rsidRDefault="0080086E">
            <w:pPr>
              <w:snapToGrid w:val="0"/>
              <w:jc w:val="center"/>
            </w:pPr>
            <w:r w:rsidRPr="00904237">
              <w:rPr>
                <w:position w:val="-28"/>
              </w:rPr>
              <w:object w:dxaOrig="1860" w:dyaOrig="659">
                <v:shape id="Object 3" o:spid="_x0000_i1027" type="#_x0000_t75" style="width:93pt;height:33pt;mso-wrap-style:square;mso-position-horizontal-relative:page;mso-position-vertical-relative:page" o:ole="" filled="t">
                  <v:fill color2="black"/>
                  <v:imagedata r:id="rId12" o:title=""/>
                </v:shape>
                <o:OLEObject Type="Embed" ProgID="Equation.DSMT4" ShapeID="Object 3" DrawAspect="Content" ObjectID="_1642858986" r:id="rId13"/>
              </w:object>
            </w:r>
          </w:p>
        </w:tc>
        <w:tc>
          <w:tcPr>
            <w:tcW w:w="826" w:type="dxa"/>
            <w:vAlign w:val="center"/>
          </w:tcPr>
          <w:p w:rsidR="00904237" w:rsidRDefault="0080086E">
            <w:pPr>
              <w:snapToGrid w:val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8</w:t>
            </w:r>
          </w:p>
        </w:tc>
        <w:tc>
          <w:tcPr>
            <w:tcW w:w="1856" w:type="dxa"/>
            <w:vAlign w:val="center"/>
          </w:tcPr>
          <w:p w:rsidR="00904237" w:rsidRDefault="0080086E">
            <w:pPr>
              <w:snapToGrid w:val="0"/>
              <w:jc w:val="center"/>
            </w:pPr>
            <w:r w:rsidRPr="00904237">
              <w:rPr>
                <w:position w:val="-28"/>
              </w:rPr>
              <w:object w:dxaOrig="2340" w:dyaOrig="659">
                <v:shape id="Object 4" o:spid="_x0000_i1028" type="#_x0000_t75" style="width:86.25pt;height:24pt;mso-wrap-style:square;mso-position-horizontal-relative:page;mso-position-vertical-relative:page" o:ole="" filled="t">
                  <v:fill color2="black"/>
                  <v:imagedata r:id="rId14" o:title=""/>
                </v:shape>
                <o:OLEObject Type="Embed" ProgID="Equation.DSMT4" ShapeID="Object 4" DrawAspect="Content" ObjectID="_1642858987" r:id="rId15"/>
              </w:object>
            </w:r>
          </w:p>
        </w:tc>
      </w:tr>
      <w:tr w:rsidR="00904237" w:rsidTr="009D4D91">
        <w:trPr>
          <w:trHeight w:hRule="exact" w:val="737"/>
          <w:jc w:val="center"/>
        </w:trPr>
        <w:tc>
          <w:tcPr>
            <w:tcW w:w="1269" w:type="dxa"/>
            <w:vAlign w:val="center"/>
          </w:tcPr>
          <w:p w:rsidR="00904237" w:rsidRDefault="0080086E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51" w:type="dxa"/>
            <w:vAlign w:val="center"/>
          </w:tcPr>
          <w:p w:rsidR="00904237" w:rsidRDefault="0080086E">
            <w:pPr>
              <w:snapToGrid w:val="0"/>
              <w:jc w:val="center"/>
            </w:pPr>
            <w:r w:rsidRPr="00904237">
              <w:rPr>
                <w:position w:val="-28"/>
              </w:rPr>
              <w:object w:dxaOrig="1860" w:dyaOrig="659">
                <v:shape id="Object 5" o:spid="_x0000_i1029" type="#_x0000_t75" style="width:93pt;height:33pt;mso-wrap-style:square;mso-position-horizontal-relative:page;mso-position-vertical-relative:page" o:ole="" filled="t">
                  <v:fill color2="black"/>
                  <v:imagedata r:id="rId16" o:title=""/>
                </v:shape>
                <o:OLEObject Type="Embed" ProgID="Equation.DSMT4" ShapeID="Object 5" DrawAspect="Content" ObjectID="_1642858988" r:id="rId17"/>
              </w:object>
            </w:r>
          </w:p>
        </w:tc>
        <w:tc>
          <w:tcPr>
            <w:tcW w:w="826" w:type="dxa"/>
            <w:vAlign w:val="center"/>
          </w:tcPr>
          <w:p w:rsidR="00904237" w:rsidRDefault="0080086E">
            <w:pPr>
              <w:snapToGrid w:val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9</w:t>
            </w:r>
          </w:p>
        </w:tc>
        <w:tc>
          <w:tcPr>
            <w:tcW w:w="1856" w:type="dxa"/>
            <w:vAlign w:val="center"/>
          </w:tcPr>
          <w:p w:rsidR="00904237" w:rsidRDefault="0080086E">
            <w:pPr>
              <w:snapToGrid w:val="0"/>
              <w:jc w:val="center"/>
            </w:pPr>
            <w:r w:rsidRPr="00904237">
              <w:rPr>
                <w:position w:val="-28"/>
              </w:rPr>
              <w:object w:dxaOrig="1879" w:dyaOrig="659">
                <v:shape id="Object 6" o:spid="_x0000_i1030" type="#_x0000_t75" style="width:69pt;height:24pt;mso-wrap-style:square;mso-position-horizontal-relative:page;mso-position-vertical-relative:page" o:ole="" filled="t">
                  <v:fill color2="black"/>
                  <v:imagedata r:id="rId18" o:title=""/>
                </v:shape>
                <o:OLEObject Type="Embed" ProgID="Equation.DSMT4" ShapeID="Object 6" DrawAspect="Content" ObjectID="_1642858989" r:id="rId19"/>
              </w:object>
            </w:r>
          </w:p>
        </w:tc>
      </w:tr>
      <w:tr w:rsidR="00904237" w:rsidTr="009D4D91">
        <w:trPr>
          <w:trHeight w:hRule="exact" w:val="737"/>
          <w:jc w:val="center"/>
        </w:trPr>
        <w:tc>
          <w:tcPr>
            <w:tcW w:w="1269" w:type="dxa"/>
            <w:vAlign w:val="center"/>
          </w:tcPr>
          <w:p w:rsidR="00904237" w:rsidRDefault="0080086E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551" w:type="dxa"/>
            <w:vAlign w:val="center"/>
          </w:tcPr>
          <w:p w:rsidR="00904237" w:rsidRDefault="0080086E">
            <w:pPr>
              <w:snapToGrid w:val="0"/>
              <w:jc w:val="center"/>
            </w:pPr>
            <w:r w:rsidRPr="00904237">
              <w:rPr>
                <w:position w:val="-28"/>
              </w:rPr>
              <w:object w:dxaOrig="1860" w:dyaOrig="659">
                <v:shape id="Object 7" o:spid="_x0000_i1031" type="#_x0000_t75" style="width:93pt;height:33pt;mso-wrap-style:square;mso-position-horizontal-relative:page;mso-position-vertical-relative:page" o:ole="" filled="t">
                  <v:fill color2="black"/>
                  <v:imagedata r:id="rId20" o:title=""/>
                </v:shape>
                <o:OLEObject Type="Embed" ProgID="Equation.DSMT4" ShapeID="Object 7" DrawAspect="Content" ObjectID="_1642858990" r:id="rId21"/>
              </w:object>
            </w:r>
          </w:p>
        </w:tc>
        <w:tc>
          <w:tcPr>
            <w:tcW w:w="826" w:type="dxa"/>
            <w:vAlign w:val="center"/>
          </w:tcPr>
          <w:p w:rsidR="00904237" w:rsidRDefault="0080086E">
            <w:pPr>
              <w:snapToGrid w:val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10</w:t>
            </w:r>
          </w:p>
        </w:tc>
        <w:tc>
          <w:tcPr>
            <w:tcW w:w="1856" w:type="dxa"/>
            <w:vAlign w:val="center"/>
          </w:tcPr>
          <w:p w:rsidR="00904237" w:rsidRDefault="0080086E">
            <w:pPr>
              <w:snapToGrid w:val="0"/>
              <w:jc w:val="center"/>
            </w:pPr>
            <w:r w:rsidRPr="00904237">
              <w:rPr>
                <w:position w:val="-28"/>
              </w:rPr>
              <w:object w:dxaOrig="1720" w:dyaOrig="659">
                <v:shape id="Object 15" o:spid="_x0000_i1032" type="#_x0000_t75" style="width:63.75pt;height:24pt;mso-wrap-style:square;mso-position-horizontal-relative:page;mso-position-vertical-relative:page" o:ole="" filled="t">
                  <v:fill color2="black"/>
                  <v:imagedata r:id="rId22" o:title=""/>
                </v:shape>
                <o:OLEObject Type="Embed" ProgID="Equation.DSMT4" ShapeID="Object 15" DrawAspect="Content" ObjectID="_1642858991" r:id="rId23"/>
              </w:object>
            </w:r>
          </w:p>
        </w:tc>
      </w:tr>
      <w:tr w:rsidR="00904237" w:rsidTr="009D4D91">
        <w:trPr>
          <w:trHeight w:hRule="exact" w:val="737"/>
          <w:jc w:val="center"/>
        </w:trPr>
        <w:tc>
          <w:tcPr>
            <w:tcW w:w="1269" w:type="dxa"/>
            <w:vAlign w:val="center"/>
          </w:tcPr>
          <w:p w:rsidR="00904237" w:rsidRDefault="0080086E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551" w:type="dxa"/>
            <w:vAlign w:val="center"/>
          </w:tcPr>
          <w:p w:rsidR="00904237" w:rsidRDefault="0080086E">
            <w:pPr>
              <w:snapToGrid w:val="0"/>
              <w:jc w:val="center"/>
            </w:pPr>
            <w:r w:rsidRPr="00904237">
              <w:rPr>
                <w:position w:val="-28"/>
              </w:rPr>
              <w:object w:dxaOrig="2220" w:dyaOrig="659">
                <v:shape id="Object 8" o:spid="_x0000_i1033" type="#_x0000_t75" style="width:111pt;height:33pt;mso-wrap-style:square;mso-position-horizontal-relative:page;mso-position-vertical-relative:page" o:ole="" filled="t">
                  <v:fill color2="black"/>
                  <v:imagedata r:id="rId24" o:title=""/>
                </v:shape>
                <o:OLEObject Type="Embed" ProgID="Equation.DSMT4" ShapeID="Object 8" DrawAspect="Content" ObjectID="_1642858992" r:id="rId25"/>
              </w:object>
            </w:r>
          </w:p>
        </w:tc>
        <w:tc>
          <w:tcPr>
            <w:tcW w:w="826" w:type="dxa"/>
            <w:vAlign w:val="center"/>
          </w:tcPr>
          <w:p w:rsidR="00904237" w:rsidRDefault="0080086E">
            <w:pPr>
              <w:snapToGrid w:val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11</w:t>
            </w:r>
          </w:p>
        </w:tc>
        <w:tc>
          <w:tcPr>
            <w:tcW w:w="1856" w:type="dxa"/>
            <w:vAlign w:val="center"/>
          </w:tcPr>
          <w:p w:rsidR="00904237" w:rsidRDefault="0080086E">
            <w:pPr>
              <w:snapToGrid w:val="0"/>
              <w:jc w:val="center"/>
            </w:pPr>
            <w:r w:rsidRPr="00904237">
              <w:rPr>
                <w:position w:val="-28"/>
              </w:rPr>
              <w:object w:dxaOrig="2160" w:dyaOrig="659">
                <v:shape id="Object 9" o:spid="_x0000_i1034" type="#_x0000_t75" style="width:79.5pt;height:24pt;mso-wrap-style:square;mso-position-horizontal-relative:page;mso-position-vertical-relative:page" o:ole="" filled="t">
                  <v:fill color2="black"/>
                  <v:imagedata r:id="rId26" o:title=""/>
                </v:shape>
                <o:OLEObject Type="Embed" ProgID="Equation.DSMT4" ShapeID="Object 9" DrawAspect="Content" ObjectID="_1642858993" r:id="rId27"/>
              </w:object>
            </w:r>
          </w:p>
        </w:tc>
      </w:tr>
      <w:tr w:rsidR="00904237" w:rsidTr="009D4D91">
        <w:trPr>
          <w:trHeight w:hRule="exact" w:val="737"/>
          <w:jc w:val="center"/>
        </w:trPr>
        <w:tc>
          <w:tcPr>
            <w:tcW w:w="1269" w:type="dxa"/>
            <w:vAlign w:val="center"/>
          </w:tcPr>
          <w:p w:rsidR="00904237" w:rsidRDefault="0080086E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551" w:type="dxa"/>
            <w:vAlign w:val="center"/>
          </w:tcPr>
          <w:p w:rsidR="00904237" w:rsidRDefault="0080086E">
            <w:pPr>
              <w:snapToGrid w:val="0"/>
              <w:jc w:val="center"/>
            </w:pPr>
            <w:r w:rsidRPr="00904237">
              <w:rPr>
                <w:position w:val="-28"/>
              </w:rPr>
              <w:object w:dxaOrig="2220" w:dyaOrig="659">
                <v:shape id="Object 14" o:spid="_x0000_i1035" type="#_x0000_t75" style="width:102.75pt;height:30.75pt;mso-wrap-style:square;mso-position-horizontal-relative:page;mso-position-vertical-relative:page" o:ole="" filled="t">
                  <v:fill color2="black"/>
                  <v:imagedata r:id="rId28" o:title=""/>
                </v:shape>
                <o:OLEObject Type="Embed" ProgID="Equation.DSMT4" ShapeID="Object 14" DrawAspect="Content" ObjectID="_1642858994" r:id="rId29"/>
              </w:object>
            </w:r>
          </w:p>
        </w:tc>
        <w:tc>
          <w:tcPr>
            <w:tcW w:w="826" w:type="dxa"/>
            <w:vAlign w:val="center"/>
          </w:tcPr>
          <w:p w:rsidR="00904237" w:rsidRDefault="0080086E">
            <w:pPr>
              <w:snapToGrid w:val="0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12</w:t>
            </w:r>
          </w:p>
        </w:tc>
        <w:tc>
          <w:tcPr>
            <w:tcW w:w="1856" w:type="dxa"/>
            <w:vAlign w:val="center"/>
          </w:tcPr>
          <w:p w:rsidR="00904237" w:rsidRDefault="0080086E">
            <w:pPr>
              <w:snapToGrid w:val="0"/>
              <w:jc w:val="center"/>
            </w:pPr>
            <w:r w:rsidRPr="00904237">
              <w:rPr>
                <w:position w:val="-28"/>
              </w:rPr>
              <w:object w:dxaOrig="1840" w:dyaOrig="659">
                <v:shape id="Object 10" o:spid="_x0000_i1036" type="#_x0000_t75" style="width:68.25pt;height:24pt;mso-wrap-style:square;mso-position-horizontal-relative:page;mso-position-vertical-relative:page" o:ole="" filled="t">
                  <v:fill color2="black"/>
                  <v:imagedata r:id="rId30" o:title=""/>
                </v:shape>
                <o:OLEObject Type="Embed" ProgID="Equation.DSMT4" ShapeID="Object 10" DrawAspect="Content" ObjectID="_1642858995" r:id="rId31"/>
              </w:object>
            </w:r>
          </w:p>
        </w:tc>
      </w:tr>
    </w:tbl>
    <w:p w:rsidR="00904237" w:rsidRDefault="00904237">
      <w:pPr>
        <w:pStyle w:val="a7"/>
        <w:ind w:firstLine="720"/>
        <w:jc w:val="both"/>
      </w:pPr>
    </w:p>
    <w:p w:rsidR="00964026" w:rsidRPr="00964026" w:rsidRDefault="00964026" w:rsidP="00964026">
      <w:pPr>
        <w:pStyle w:val="af2"/>
        <w:shd w:val="clear" w:color="auto" w:fill="FFFFFF"/>
        <w:suppressAutoHyphens w:val="0"/>
        <w:ind w:left="0" w:firstLine="720"/>
        <w:jc w:val="both"/>
        <w:rPr>
          <w:color w:val="000000" w:themeColor="text1"/>
          <w:sz w:val="24"/>
          <w:szCs w:val="24"/>
          <w:lang w:eastAsia="ru-RU"/>
        </w:rPr>
      </w:pPr>
      <w:r w:rsidRPr="00964026">
        <w:rPr>
          <w:color w:val="000000" w:themeColor="text1"/>
          <w:sz w:val="24"/>
          <w:szCs w:val="24"/>
          <w:lang w:eastAsia="ru-RU"/>
        </w:rPr>
        <w:t xml:space="preserve">По </w:t>
      </w:r>
      <w:r w:rsidR="00B64373">
        <w:rPr>
          <w:color w:val="000000" w:themeColor="text1"/>
          <w:sz w:val="24"/>
          <w:szCs w:val="24"/>
          <w:lang w:eastAsia="ru-RU"/>
        </w:rPr>
        <w:t>критери</w:t>
      </w:r>
      <w:r>
        <w:rPr>
          <w:color w:val="000000" w:themeColor="text1"/>
          <w:sz w:val="24"/>
          <w:szCs w:val="24"/>
          <w:lang w:eastAsia="ru-RU"/>
        </w:rPr>
        <w:t>ю</w:t>
      </w:r>
      <w:r w:rsidR="00B64373">
        <w:rPr>
          <w:color w:val="000000" w:themeColor="text1"/>
          <w:sz w:val="24"/>
          <w:szCs w:val="24"/>
          <w:lang w:eastAsia="ru-RU"/>
        </w:rPr>
        <w:t xml:space="preserve"> Найквиста</w:t>
      </w:r>
      <w:r>
        <w:rPr>
          <w:color w:val="000000" w:themeColor="text1"/>
          <w:sz w:val="24"/>
          <w:szCs w:val="24"/>
          <w:lang w:eastAsia="ru-RU"/>
        </w:rPr>
        <w:t xml:space="preserve"> устойчивость замкнутой системы определяется по АФЧХ разомкнутой:</w:t>
      </w:r>
      <w:r w:rsidRPr="00964026">
        <w:rPr>
          <w:color w:val="000000" w:themeColor="text1"/>
          <w:sz w:val="24"/>
          <w:szCs w:val="24"/>
          <w:lang w:eastAsia="ru-RU"/>
        </w:rPr>
        <w:t xml:space="preserve"> </w:t>
      </w:r>
    </w:p>
    <w:p w:rsidR="00C06467" w:rsidRPr="00B64373" w:rsidRDefault="00B64373" w:rsidP="00964026">
      <w:pPr>
        <w:pStyle w:val="af2"/>
        <w:numPr>
          <w:ilvl w:val="0"/>
          <w:numId w:val="4"/>
        </w:numPr>
        <w:shd w:val="clear" w:color="auto" w:fill="FFFFFF"/>
        <w:suppressAutoHyphens w:val="0"/>
        <w:jc w:val="both"/>
        <w:rPr>
          <w:color w:val="000000" w:themeColor="text1"/>
          <w:sz w:val="24"/>
          <w:szCs w:val="24"/>
          <w:lang w:eastAsia="ru-RU"/>
        </w:rPr>
      </w:pPr>
      <w:r w:rsidRPr="00B64373">
        <w:rPr>
          <w:sz w:val="24"/>
          <w:szCs w:val="24"/>
        </w:rPr>
        <w:t>Е</w:t>
      </w:r>
      <w:r w:rsidR="00C06467" w:rsidRPr="00B64373">
        <w:rPr>
          <w:sz w:val="24"/>
          <w:szCs w:val="24"/>
        </w:rPr>
        <w:t xml:space="preserve">сли разомкнутая система устойчива, то для устойчивости замкнутой системы необходимо и достаточно, чтобы </w:t>
      </w:r>
      <w:r w:rsidR="00964026">
        <w:rPr>
          <w:sz w:val="24"/>
          <w:szCs w:val="24"/>
        </w:rPr>
        <w:t>АФЧХ</w:t>
      </w:r>
      <w:r w:rsidR="00C06467" w:rsidRPr="00B64373">
        <w:rPr>
          <w:sz w:val="24"/>
          <w:szCs w:val="24"/>
        </w:rPr>
        <w:t xml:space="preserve"> разомкнутой системы не охватывала точку с координатами (-1; j0).</w:t>
      </w:r>
    </w:p>
    <w:p w:rsidR="00B64373" w:rsidRPr="00B64373" w:rsidRDefault="00B64373" w:rsidP="00964026">
      <w:pPr>
        <w:pStyle w:val="af2"/>
        <w:numPr>
          <w:ilvl w:val="0"/>
          <w:numId w:val="4"/>
        </w:numPr>
        <w:shd w:val="clear" w:color="auto" w:fill="FFFFFF"/>
        <w:suppressAutoHyphens w:val="0"/>
        <w:jc w:val="both"/>
        <w:rPr>
          <w:color w:val="000000" w:themeColor="text1"/>
          <w:sz w:val="24"/>
          <w:szCs w:val="24"/>
          <w:lang w:eastAsia="ru-RU"/>
        </w:rPr>
      </w:pPr>
      <w:r>
        <w:rPr>
          <w:color w:val="000000" w:themeColor="text1"/>
          <w:sz w:val="24"/>
          <w:szCs w:val="24"/>
          <w:lang w:eastAsia="ru-RU"/>
        </w:rPr>
        <w:t>Если разомкнутая система неустойчива, то количество оборотов ее АФЧХ вокруг точки (-1; j0) должно быть равно числу полюсов в правой полуплоскости.</w:t>
      </w:r>
    </w:p>
    <w:p w:rsidR="00B64373" w:rsidRDefault="00B64373" w:rsidP="002A4F1E">
      <w:pPr>
        <w:pStyle w:val="a7"/>
        <w:ind w:firstLine="720"/>
        <w:jc w:val="both"/>
      </w:pPr>
    </w:p>
    <w:p w:rsidR="00964026" w:rsidRDefault="0080086E" w:rsidP="00964026">
      <w:pPr>
        <w:pStyle w:val="a7"/>
        <w:ind w:firstLine="720"/>
        <w:jc w:val="both"/>
      </w:pPr>
      <w:r>
        <w:t xml:space="preserve">Определим </w:t>
      </w:r>
      <w:r w:rsidR="00964026">
        <w:t>устойчивость замкнутой системы, если передаточная функция разомкнутой имеет следующий вид:</w:t>
      </w:r>
    </w:p>
    <w:p w:rsidR="00904237" w:rsidRDefault="0080086E">
      <w:pPr>
        <w:pStyle w:val="a7"/>
      </w:pPr>
      <w:r w:rsidRPr="00904237">
        <w:rPr>
          <w:position w:val="-28"/>
        </w:rPr>
        <w:object w:dxaOrig="2780" w:dyaOrig="719">
          <v:shape id="Object 11" o:spid="_x0000_i1037" type="#_x0000_t75" style="width:114.75pt;height:30pt;mso-wrap-style:square;mso-position-horizontal-relative:page;mso-position-vertical-relative:page" o:ole="">
            <v:imagedata r:id="rId32" o:title=""/>
          </v:shape>
          <o:OLEObject Type="Embed" ProgID="Equation.DSMT4" ShapeID="Object 11" DrawAspect="Content" ObjectID="_1642858996" r:id="rId33"/>
        </w:object>
      </w:r>
      <w:r>
        <w:t>.</w:t>
      </w:r>
    </w:p>
    <w:p w:rsidR="00904237" w:rsidRPr="00C06467" w:rsidRDefault="00964026" w:rsidP="00964026">
      <w:pPr>
        <w:pStyle w:val="a7"/>
        <w:ind w:firstLine="720"/>
        <w:jc w:val="both"/>
      </w:pPr>
      <w:r>
        <w:t>Ч</w:t>
      </w:r>
      <w:r w:rsidR="0080086E">
        <w:t>астотн</w:t>
      </w:r>
      <w:r>
        <w:t>ые</w:t>
      </w:r>
      <w:r w:rsidR="0080086E">
        <w:t xml:space="preserve"> преобразование </w:t>
      </w:r>
      <w:r>
        <w:t>будем производить в</w:t>
      </w:r>
      <w:r w:rsidR="0080086E">
        <w:t xml:space="preserve"> диапазон</w:t>
      </w:r>
      <w:r>
        <w:t>е</w:t>
      </w:r>
      <w:r w:rsidR="0080086E">
        <w:t xml:space="preserve"> </w:t>
      </w:r>
      <w:r w:rsidR="00C06467">
        <w:t>от 0,1 до 30 Гц с шагом 0,01 Гц</w:t>
      </w:r>
      <w:r>
        <w:t>.</w:t>
      </w:r>
    </w:p>
    <w:p w:rsidR="00C06467" w:rsidRDefault="00C06467">
      <w:pPr>
        <w:pStyle w:val="a7"/>
        <w:jc w:val="left"/>
        <w:rPr>
          <w:i/>
        </w:rPr>
      </w:pPr>
    </w:p>
    <w:p w:rsidR="00904237" w:rsidRPr="00864DEF" w:rsidRDefault="0080086E">
      <w:pPr>
        <w:pStyle w:val="a7"/>
        <w:jc w:val="left"/>
        <w:rPr>
          <w:i/>
          <w:lang w:val="en-US"/>
        </w:rPr>
      </w:pPr>
      <w:r>
        <w:rPr>
          <w:i/>
        </w:rPr>
        <w:t>Текст</w:t>
      </w:r>
      <w:r w:rsidRPr="00864DEF">
        <w:rPr>
          <w:i/>
          <w:lang w:val="en-US"/>
        </w:rPr>
        <w:t xml:space="preserve"> </w:t>
      </w:r>
      <w:r>
        <w:rPr>
          <w:i/>
        </w:rPr>
        <w:t>программы</w:t>
      </w:r>
      <w:r w:rsidR="00111065" w:rsidRPr="00864DEF">
        <w:rPr>
          <w:i/>
          <w:lang w:val="en-US"/>
        </w:rPr>
        <w:t>:</w:t>
      </w:r>
    </w:p>
    <w:p w:rsidR="00904237" w:rsidRDefault="0080086E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num=[1]</w:t>
      </w:r>
    </w:p>
    <w:p w:rsidR="00904237" w:rsidRDefault="0080086E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den=[4 5 3 1]</w:t>
      </w:r>
    </w:p>
    <w:p w:rsidR="00904237" w:rsidRDefault="0080086E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W1=tf(num,den)</w:t>
      </w:r>
    </w:p>
    <w:p w:rsidR="00904237" w:rsidRDefault="0080086E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w=0.1:0.01:3</w:t>
      </w:r>
    </w:p>
    <w:p w:rsidR="00904237" w:rsidRPr="00560DDF" w:rsidRDefault="0080086E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APK=freqs(num,den,w)</w:t>
      </w:r>
      <w:r w:rsidR="00560DDF" w:rsidRPr="00560DDF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 xml:space="preserve">  %</w:t>
      </w:r>
    </w:p>
    <w:p w:rsidR="00904237" w:rsidRPr="00560DDF" w:rsidRDefault="0080086E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4"/>
          <w:szCs w:val="24"/>
          <w:lang w:eastAsia="ru-RU"/>
        </w:rPr>
      </w:pP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u</w:t>
      </w:r>
      <w:r w:rsidRPr="003D1F1E">
        <w:rPr>
          <w:rFonts w:ascii="Courier New" w:hAnsi="Courier New" w:cs="Courier New"/>
          <w:color w:val="000000"/>
          <w:sz w:val="24"/>
          <w:szCs w:val="24"/>
          <w:lang w:eastAsia="ru-RU"/>
        </w:rPr>
        <w:t>=</w:t>
      </w: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real</w:t>
      </w:r>
      <w:r w:rsidRPr="003D1F1E">
        <w:rPr>
          <w:rFonts w:ascii="Courier New" w:hAnsi="Courier New" w:cs="Courier New"/>
          <w:color w:val="000000"/>
          <w:sz w:val="24"/>
          <w:szCs w:val="24"/>
          <w:lang w:eastAsia="ru-RU"/>
        </w:rPr>
        <w:t>(</w:t>
      </w: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APK</w:t>
      </w:r>
      <w:r w:rsidRPr="003D1F1E">
        <w:rPr>
          <w:rFonts w:ascii="Courier New" w:hAnsi="Courier New" w:cs="Courier New"/>
          <w:color w:val="000000"/>
          <w:sz w:val="24"/>
          <w:szCs w:val="24"/>
          <w:lang w:eastAsia="ru-RU"/>
        </w:rPr>
        <w:t>)</w:t>
      </w:r>
      <w:r w:rsidR="00560DDF" w:rsidRPr="003D1F1E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     %</w:t>
      </w:r>
      <w:r w:rsidR="00560DDF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рассчитывается АФЧХ</w:t>
      </w:r>
    </w:p>
    <w:p w:rsidR="00904237" w:rsidRPr="003D1F1E" w:rsidRDefault="0080086E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4"/>
          <w:szCs w:val="24"/>
          <w:lang w:eastAsia="ru-RU"/>
        </w:rPr>
      </w:pP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v</w:t>
      </w:r>
      <w:r w:rsidRPr="003D1F1E">
        <w:rPr>
          <w:rFonts w:ascii="Courier New" w:hAnsi="Courier New" w:cs="Courier New"/>
          <w:color w:val="000000"/>
          <w:sz w:val="24"/>
          <w:szCs w:val="24"/>
          <w:lang w:eastAsia="ru-RU"/>
        </w:rPr>
        <w:t>=</w:t>
      </w: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imag</w:t>
      </w:r>
      <w:r w:rsidRPr="003D1F1E">
        <w:rPr>
          <w:rFonts w:ascii="Courier New" w:hAnsi="Courier New" w:cs="Courier New"/>
          <w:color w:val="000000"/>
          <w:sz w:val="24"/>
          <w:szCs w:val="24"/>
          <w:lang w:eastAsia="ru-RU"/>
        </w:rPr>
        <w:t>(</w:t>
      </w: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APK</w:t>
      </w:r>
      <w:r w:rsidRPr="003D1F1E">
        <w:rPr>
          <w:rFonts w:ascii="Courier New" w:hAnsi="Courier New" w:cs="Courier New"/>
          <w:color w:val="000000"/>
          <w:sz w:val="24"/>
          <w:szCs w:val="24"/>
          <w:lang w:eastAsia="ru-RU"/>
        </w:rPr>
        <w:t>)</w:t>
      </w:r>
      <w:r w:rsidR="00560DDF" w:rsidRPr="003D1F1E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     %</w:t>
      </w:r>
    </w:p>
    <w:p w:rsidR="00904237" w:rsidRPr="00560DDF" w:rsidRDefault="0080086E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4"/>
          <w:szCs w:val="24"/>
          <w:lang w:eastAsia="ru-RU"/>
        </w:rPr>
      </w:pP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t</w:t>
      </w:r>
      <w:r w:rsidRPr="00560DDF">
        <w:rPr>
          <w:rFonts w:ascii="Courier New" w:hAnsi="Courier New" w:cs="Courier New"/>
          <w:color w:val="000000"/>
          <w:sz w:val="24"/>
          <w:szCs w:val="24"/>
          <w:lang w:eastAsia="ru-RU"/>
        </w:rPr>
        <w:t>=0:</w:t>
      </w: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pi</w:t>
      </w:r>
      <w:r w:rsidRPr="00560DDF">
        <w:rPr>
          <w:rFonts w:ascii="Courier New" w:hAnsi="Courier New" w:cs="Courier New"/>
          <w:color w:val="000000"/>
          <w:sz w:val="24"/>
          <w:szCs w:val="24"/>
          <w:lang w:eastAsia="ru-RU"/>
        </w:rPr>
        <w:t>/100:2*</w:t>
      </w: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pi</w:t>
      </w:r>
      <w:r w:rsidR="0024426C" w:rsidRPr="00560DDF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%</w:t>
      </w:r>
    </w:p>
    <w:p w:rsidR="00904237" w:rsidRPr="0024426C" w:rsidRDefault="000900BA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4"/>
          <w:szCs w:val="24"/>
          <w:lang w:eastAsia="ru-RU"/>
        </w:rPr>
      </w:pP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x</w:t>
      </w:r>
      <w:r w:rsidRPr="0024426C">
        <w:rPr>
          <w:rFonts w:ascii="Courier New" w:hAnsi="Courier New" w:cs="Courier New"/>
          <w:color w:val="000000"/>
          <w:sz w:val="24"/>
          <w:szCs w:val="24"/>
          <w:lang w:eastAsia="ru-RU"/>
        </w:rPr>
        <w:t>=</w:t>
      </w: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sin</w:t>
      </w:r>
      <w:r w:rsidRPr="0024426C">
        <w:rPr>
          <w:rFonts w:ascii="Courier New" w:hAnsi="Courier New" w:cs="Courier New"/>
          <w:color w:val="000000"/>
          <w:sz w:val="24"/>
          <w:szCs w:val="24"/>
          <w:lang w:eastAsia="ru-RU"/>
        </w:rPr>
        <w:t>(</w:t>
      </w: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t</w:t>
      </w:r>
      <w:r w:rsidRPr="0024426C">
        <w:rPr>
          <w:rFonts w:ascii="Courier New" w:hAnsi="Courier New" w:cs="Courier New"/>
          <w:color w:val="000000"/>
          <w:sz w:val="24"/>
          <w:szCs w:val="24"/>
          <w:lang w:eastAsia="ru-RU"/>
        </w:rPr>
        <w:t>)</w:t>
      </w:r>
      <w:r w:rsidR="0080086E" w:rsidRPr="0024426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</w:t>
      </w:r>
      <w:r w:rsidR="0024426C" w:rsidRPr="0024426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 % </w:t>
      </w:r>
      <w:r w:rsidR="00560DDF" w:rsidRPr="00560DDF">
        <w:rPr>
          <w:rFonts w:ascii="Courier New" w:hAnsi="Courier New" w:cs="Courier New"/>
          <w:color w:val="000000"/>
          <w:sz w:val="24"/>
          <w:szCs w:val="24"/>
          <w:lang w:eastAsia="ru-RU"/>
        </w:rPr>
        <w:t>рас</w:t>
      </w:r>
      <w:r w:rsidR="00560DDF">
        <w:rPr>
          <w:rFonts w:ascii="Courier New" w:hAnsi="Courier New" w:cs="Courier New"/>
          <w:color w:val="000000"/>
          <w:sz w:val="24"/>
          <w:szCs w:val="24"/>
          <w:lang w:eastAsia="ru-RU"/>
        </w:rPr>
        <w:t>с</w:t>
      </w:r>
      <w:r w:rsidR="00560DDF" w:rsidRPr="00560DDF">
        <w:rPr>
          <w:rFonts w:ascii="Courier New" w:hAnsi="Courier New" w:cs="Courier New"/>
          <w:color w:val="000000"/>
          <w:sz w:val="24"/>
          <w:szCs w:val="24"/>
          <w:lang w:eastAsia="ru-RU"/>
        </w:rPr>
        <w:t>читывается</w:t>
      </w:r>
      <w:r w:rsidR="0024426C" w:rsidRPr="0024426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окружность единичного радиуса</w:t>
      </w:r>
    </w:p>
    <w:p w:rsidR="00904237" w:rsidRPr="00560DDF" w:rsidRDefault="0080086E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4"/>
          <w:szCs w:val="24"/>
          <w:lang w:eastAsia="ru-RU"/>
        </w:rPr>
      </w:pP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lastRenderedPageBreak/>
        <w:t>y</w:t>
      </w:r>
      <w:r w:rsidRPr="00560DDF">
        <w:rPr>
          <w:rFonts w:ascii="Courier New" w:hAnsi="Courier New" w:cs="Courier New"/>
          <w:color w:val="000000"/>
          <w:sz w:val="24"/>
          <w:szCs w:val="24"/>
          <w:lang w:eastAsia="ru-RU"/>
        </w:rPr>
        <w:t>=</w:t>
      </w: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cos</w:t>
      </w:r>
      <w:r w:rsidRPr="00560DDF">
        <w:rPr>
          <w:rFonts w:ascii="Courier New" w:hAnsi="Courier New" w:cs="Courier New"/>
          <w:color w:val="000000"/>
          <w:sz w:val="24"/>
          <w:szCs w:val="24"/>
          <w:lang w:eastAsia="ru-RU"/>
        </w:rPr>
        <w:t>(</w:t>
      </w: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t</w:t>
      </w:r>
      <w:r w:rsidRPr="00560DDF">
        <w:rPr>
          <w:rFonts w:ascii="Courier New" w:hAnsi="Courier New" w:cs="Courier New"/>
          <w:color w:val="000000"/>
          <w:sz w:val="24"/>
          <w:szCs w:val="24"/>
          <w:lang w:eastAsia="ru-RU"/>
        </w:rPr>
        <w:t>)</w:t>
      </w:r>
      <w:r w:rsidR="0024426C" w:rsidRPr="00560DDF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       %</w:t>
      </w:r>
    </w:p>
    <w:p w:rsidR="00904237" w:rsidRPr="00560DDF" w:rsidRDefault="0080086E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4"/>
          <w:szCs w:val="24"/>
          <w:lang w:eastAsia="ru-RU"/>
        </w:rPr>
      </w:pP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plot</w:t>
      </w:r>
      <w:r w:rsidRPr="00560DDF">
        <w:rPr>
          <w:rFonts w:ascii="Courier New" w:hAnsi="Courier New" w:cs="Courier New"/>
          <w:color w:val="000000"/>
          <w:sz w:val="24"/>
          <w:szCs w:val="24"/>
          <w:lang w:eastAsia="ru-RU"/>
        </w:rPr>
        <w:t>(</w:t>
      </w: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u</w:t>
      </w:r>
      <w:r w:rsidRPr="00560DDF">
        <w:rPr>
          <w:rFonts w:ascii="Courier New" w:hAnsi="Courier New" w:cs="Courier New"/>
          <w:color w:val="000000"/>
          <w:sz w:val="24"/>
          <w:szCs w:val="24"/>
          <w:lang w:eastAsia="ru-RU"/>
        </w:rPr>
        <w:t>,</w:t>
      </w: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v</w:t>
      </w:r>
      <w:r w:rsidRPr="00560DDF">
        <w:rPr>
          <w:rFonts w:ascii="Courier New" w:hAnsi="Courier New" w:cs="Courier New"/>
          <w:color w:val="000000"/>
          <w:sz w:val="24"/>
          <w:szCs w:val="24"/>
          <w:lang w:eastAsia="ru-RU"/>
        </w:rPr>
        <w:t>,</w:t>
      </w: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x</w:t>
      </w:r>
      <w:r w:rsidRPr="00560DDF">
        <w:rPr>
          <w:rFonts w:ascii="Courier New" w:hAnsi="Courier New" w:cs="Courier New"/>
          <w:color w:val="000000"/>
          <w:sz w:val="24"/>
          <w:szCs w:val="24"/>
          <w:lang w:eastAsia="ru-RU"/>
        </w:rPr>
        <w:t>,</w:t>
      </w: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y</w:t>
      </w:r>
      <w:r w:rsidRPr="00560DDF">
        <w:rPr>
          <w:rFonts w:ascii="Courier New" w:hAnsi="Courier New" w:cs="Courier New"/>
          <w:color w:val="000000"/>
          <w:sz w:val="24"/>
          <w:szCs w:val="24"/>
          <w:lang w:eastAsia="ru-RU"/>
        </w:rPr>
        <w:t>)</w:t>
      </w:r>
      <w:r w:rsidR="00560DDF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</w:t>
      </w:r>
      <w:r w:rsidR="00964026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</w:t>
      </w:r>
      <w:r w:rsidR="00560DDF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% на одном графике выводится АФЧХ и окружность</w:t>
      </w:r>
    </w:p>
    <w:p w:rsidR="00904237" w:rsidRPr="0024426C" w:rsidRDefault="0080086E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4"/>
          <w:szCs w:val="24"/>
          <w:lang w:eastAsia="ru-RU"/>
        </w:rPr>
      </w:pP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grid</w:t>
      </w:r>
      <w:r w:rsidR="000900BA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</w:t>
      </w:r>
      <w:r w:rsidR="000900BA"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on</w:t>
      </w:r>
    </w:p>
    <w:p w:rsidR="00904237" w:rsidRDefault="0080086E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4"/>
          <w:szCs w:val="24"/>
          <w:lang w:eastAsia="ru-RU"/>
        </w:rPr>
      </w:pPr>
      <w:r>
        <w:rPr>
          <w:rFonts w:ascii="Courier New" w:hAnsi="Courier New" w:cs="Courier New"/>
          <w:color w:val="000000"/>
          <w:sz w:val="24"/>
          <w:szCs w:val="24"/>
          <w:lang w:val="en-US" w:eastAsia="ru-RU"/>
        </w:rPr>
        <w:t>axis</w:t>
      </w:r>
      <w:r w:rsidRPr="0024426C">
        <w:rPr>
          <w:rFonts w:ascii="Courier New" w:hAnsi="Courier New" w:cs="Courier New"/>
          <w:color w:val="000000"/>
          <w:sz w:val="24"/>
          <w:szCs w:val="24"/>
          <w:lang w:eastAsia="ru-RU"/>
        </w:rPr>
        <w:t xml:space="preserve"> </w:t>
      </w:r>
      <w:r w:rsidRPr="00C61E57">
        <w:rPr>
          <w:rFonts w:ascii="Courier New" w:hAnsi="Courier New" w:cs="Courier New"/>
          <w:sz w:val="24"/>
          <w:szCs w:val="24"/>
          <w:lang w:val="en-US" w:eastAsia="ru-RU"/>
        </w:rPr>
        <w:t>equal</w:t>
      </w:r>
      <w:r w:rsidR="00C61E57" w:rsidRPr="00C61E57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="00111065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="00C61E57" w:rsidRPr="00C61E57">
        <w:rPr>
          <w:rFonts w:ascii="Courier New" w:hAnsi="Courier New" w:cs="Courier New"/>
          <w:sz w:val="24"/>
          <w:szCs w:val="24"/>
          <w:lang w:eastAsia="ru-RU"/>
        </w:rPr>
        <w:t xml:space="preserve">    %</w:t>
      </w:r>
      <w:r w:rsidR="00C61E57">
        <w:rPr>
          <w:rFonts w:ascii="Courier New" w:hAnsi="Courier New" w:cs="Courier New"/>
          <w:sz w:val="24"/>
          <w:szCs w:val="24"/>
          <w:lang w:eastAsia="ru-RU"/>
        </w:rPr>
        <w:t xml:space="preserve"> одинаковый масштаб по осям</w:t>
      </w:r>
    </w:p>
    <w:p w:rsidR="00C06467" w:rsidRPr="00C61E57" w:rsidRDefault="00111065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color w:val="A020F0"/>
          <w:sz w:val="24"/>
          <w:szCs w:val="24"/>
          <w:lang w:eastAsia="ru-RU"/>
        </w:rPr>
      </w:pPr>
      <w:r>
        <w:rPr>
          <w:rFonts w:ascii="Courier New" w:hAnsi="Courier New" w:cs="Courier New"/>
          <w:color w:val="A020F0"/>
          <w:sz w:val="24"/>
          <w:szCs w:val="24"/>
          <w:lang w:eastAsia="ru-RU"/>
        </w:rPr>
        <w:t xml:space="preserve"> </w:t>
      </w:r>
    </w:p>
    <w:p w:rsidR="002A4F1E" w:rsidRDefault="00560DDF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Второй</w:t>
      </w:r>
      <w:r w:rsidR="002A4F1E" w:rsidRPr="002A4F1E">
        <w:rPr>
          <w:sz w:val="24"/>
          <w:szCs w:val="24"/>
          <w:lang w:eastAsia="ru-RU"/>
        </w:rPr>
        <w:t xml:space="preserve"> </w:t>
      </w:r>
      <w:r w:rsidR="002A4F1E">
        <w:rPr>
          <w:sz w:val="24"/>
          <w:szCs w:val="24"/>
          <w:lang w:eastAsia="ru-RU"/>
        </w:rPr>
        <w:t>вариант построения АФЧХ – использование оператора</w:t>
      </w:r>
      <w:r>
        <w:rPr>
          <w:sz w:val="24"/>
          <w:szCs w:val="24"/>
          <w:lang w:eastAsia="ru-RU"/>
        </w:rPr>
        <w:t xml:space="preserve"> </w:t>
      </w:r>
      <w:r w:rsidR="002A4F1E" w:rsidRPr="002A4F1E">
        <w:rPr>
          <w:rFonts w:ascii="Courier New" w:hAnsi="Courier New" w:cs="Courier New"/>
          <w:sz w:val="24"/>
          <w:szCs w:val="24"/>
          <w:lang w:val="en-US" w:eastAsia="ru-RU"/>
        </w:rPr>
        <w:t>nyquist</w:t>
      </w:r>
      <w:r w:rsidR="002A4F1E" w:rsidRPr="002A4F1E">
        <w:rPr>
          <w:rFonts w:ascii="Courier New" w:hAnsi="Courier New" w:cs="Courier New"/>
          <w:sz w:val="24"/>
          <w:szCs w:val="24"/>
          <w:lang w:eastAsia="ru-RU"/>
        </w:rPr>
        <w:t>(</w:t>
      </w:r>
      <w:r w:rsidR="002A4F1E" w:rsidRPr="002A4F1E">
        <w:rPr>
          <w:rFonts w:ascii="Courier New" w:hAnsi="Courier New" w:cs="Courier New"/>
          <w:sz w:val="24"/>
          <w:szCs w:val="24"/>
          <w:lang w:val="en-US" w:eastAsia="ru-RU"/>
        </w:rPr>
        <w:t>APK</w:t>
      </w:r>
      <w:r w:rsidR="002A4F1E" w:rsidRPr="002A4F1E">
        <w:rPr>
          <w:rFonts w:ascii="Courier New" w:hAnsi="Courier New" w:cs="Courier New"/>
          <w:sz w:val="24"/>
          <w:szCs w:val="24"/>
          <w:lang w:eastAsia="ru-RU"/>
        </w:rPr>
        <w:t>)</w:t>
      </w:r>
      <w:r>
        <w:rPr>
          <w:rFonts w:ascii="Courier New" w:hAnsi="Courier New" w:cs="Courier New"/>
          <w:sz w:val="24"/>
          <w:szCs w:val="24"/>
          <w:lang w:eastAsia="ru-RU"/>
        </w:rPr>
        <w:t>.</w:t>
      </w:r>
    </w:p>
    <w:p w:rsidR="00C06467" w:rsidRPr="00560DDF" w:rsidRDefault="00C06467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4"/>
          <w:szCs w:val="24"/>
          <w:lang w:eastAsia="ru-RU"/>
        </w:rPr>
      </w:pPr>
    </w:p>
    <w:p w:rsidR="002944A9" w:rsidRPr="002944A9" w:rsidRDefault="00560DDF" w:rsidP="009D4D91">
      <w:pPr>
        <w:suppressAutoHyphens w:val="0"/>
        <w:autoSpaceDE w:val="0"/>
        <w:autoSpaceDN w:val="0"/>
        <w:adjustRightInd w:val="0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Третий вариант </w:t>
      </w:r>
      <w:r w:rsidRPr="009D4D91">
        <w:rPr>
          <w:sz w:val="24"/>
          <w:szCs w:val="24"/>
          <w:lang w:eastAsia="ru-RU"/>
        </w:rPr>
        <w:t>– использование инструмента</w:t>
      </w:r>
      <w:r w:rsidRPr="00311BCE">
        <w:rPr>
          <w:b/>
          <w:i/>
          <w:sz w:val="24"/>
          <w:szCs w:val="24"/>
          <w:lang w:eastAsia="ru-RU"/>
        </w:rPr>
        <w:t xml:space="preserve"> </w:t>
      </w:r>
      <w:r w:rsidRPr="00311BCE">
        <w:rPr>
          <w:rFonts w:ascii="Courier New" w:hAnsi="Courier New" w:cs="Courier New"/>
          <w:b/>
          <w:i/>
          <w:sz w:val="24"/>
          <w:szCs w:val="24"/>
          <w:lang w:val="en-US" w:eastAsia="ru-RU"/>
        </w:rPr>
        <w:t>ltiview</w:t>
      </w:r>
      <w:r w:rsidRPr="00311BCE">
        <w:rPr>
          <w:rFonts w:ascii="Courier New" w:hAnsi="Courier New" w:cs="Courier New"/>
          <w:b/>
          <w:i/>
          <w:sz w:val="24"/>
          <w:szCs w:val="24"/>
          <w:lang w:eastAsia="ru-RU"/>
        </w:rPr>
        <w:t>(</w:t>
      </w:r>
      <w:r w:rsidRPr="00311BCE">
        <w:rPr>
          <w:rFonts w:ascii="Courier New" w:hAnsi="Courier New" w:cs="Courier New"/>
          <w:b/>
          <w:i/>
          <w:sz w:val="24"/>
          <w:szCs w:val="24"/>
          <w:lang w:val="en-US" w:eastAsia="ru-RU"/>
        </w:rPr>
        <w:t>APK</w:t>
      </w:r>
      <w:r w:rsidRPr="00311BCE">
        <w:rPr>
          <w:rFonts w:ascii="Courier New" w:hAnsi="Courier New" w:cs="Courier New"/>
          <w:b/>
          <w:i/>
          <w:sz w:val="24"/>
          <w:szCs w:val="24"/>
          <w:lang w:eastAsia="ru-RU"/>
        </w:rPr>
        <w:t>)</w:t>
      </w:r>
      <w:r w:rsidR="00C61E57">
        <w:rPr>
          <w:rFonts w:ascii="Courier New" w:hAnsi="Courier New" w:cs="Courier New"/>
          <w:sz w:val="24"/>
          <w:szCs w:val="24"/>
          <w:lang w:eastAsia="ru-RU"/>
        </w:rPr>
        <w:t>-</w:t>
      </w:r>
      <w:r w:rsidR="00C61E57" w:rsidRPr="00C61E57">
        <w:rPr>
          <w:sz w:val="24"/>
          <w:szCs w:val="24"/>
          <w:lang w:eastAsia="ru-RU"/>
        </w:rPr>
        <w:t xml:space="preserve"> правая</w:t>
      </w:r>
      <w:r w:rsidR="00C61E57">
        <w:rPr>
          <w:sz w:val="24"/>
          <w:szCs w:val="24"/>
          <w:lang w:eastAsia="ru-RU"/>
        </w:rPr>
        <w:t xml:space="preserve"> кнопка – </w:t>
      </w:r>
      <w:r w:rsidR="00C61E57">
        <w:rPr>
          <w:sz w:val="24"/>
          <w:szCs w:val="24"/>
          <w:lang w:val="en-US" w:eastAsia="ru-RU"/>
        </w:rPr>
        <w:t>Plot</w:t>
      </w:r>
      <w:r w:rsidR="00C61E57" w:rsidRPr="00C61E57">
        <w:rPr>
          <w:sz w:val="24"/>
          <w:szCs w:val="24"/>
          <w:lang w:eastAsia="ru-RU"/>
        </w:rPr>
        <w:t xml:space="preserve"> </w:t>
      </w:r>
      <w:r w:rsidR="00C61E57">
        <w:rPr>
          <w:sz w:val="24"/>
          <w:szCs w:val="24"/>
          <w:lang w:val="en-US" w:eastAsia="ru-RU"/>
        </w:rPr>
        <w:t>types</w:t>
      </w:r>
      <w:r w:rsidR="00C61E57">
        <w:rPr>
          <w:sz w:val="24"/>
          <w:szCs w:val="24"/>
          <w:lang w:eastAsia="ru-RU"/>
        </w:rPr>
        <w:t xml:space="preserve"> </w:t>
      </w:r>
      <w:r w:rsidR="00C61E57" w:rsidRPr="00C61E57">
        <w:rPr>
          <w:sz w:val="24"/>
          <w:szCs w:val="24"/>
          <w:lang w:eastAsia="ru-RU"/>
        </w:rPr>
        <w:t xml:space="preserve">- </w:t>
      </w:r>
      <w:r w:rsidR="00C61E57">
        <w:rPr>
          <w:sz w:val="24"/>
          <w:szCs w:val="24"/>
          <w:lang w:val="en-US" w:eastAsia="ru-RU"/>
        </w:rPr>
        <w:t>Nyquist</w:t>
      </w:r>
      <w:r w:rsidRPr="00560DDF">
        <w:rPr>
          <w:sz w:val="24"/>
          <w:szCs w:val="24"/>
          <w:lang w:eastAsia="ru-RU"/>
        </w:rPr>
        <w:t>.</w:t>
      </w:r>
      <w:r>
        <w:rPr>
          <w:sz w:val="24"/>
          <w:szCs w:val="24"/>
          <w:lang w:eastAsia="ru-RU"/>
        </w:rPr>
        <w:t xml:space="preserve"> </w:t>
      </w:r>
      <w:r w:rsidR="002944A9">
        <w:rPr>
          <w:sz w:val="24"/>
          <w:szCs w:val="24"/>
          <w:lang w:eastAsia="ru-RU"/>
        </w:rPr>
        <w:t>В этом случае запасы устойчивости определяются автоматически</w:t>
      </w:r>
      <w:r w:rsidRPr="00560DDF">
        <w:rPr>
          <w:sz w:val="24"/>
          <w:szCs w:val="24"/>
          <w:lang w:eastAsia="ru-RU"/>
        </w:rPr>
        <w:t xml:space="preserve"> (правая кнопка - </w:t>
      </w:r>
      <w:r>
        <w:rPr>
          <w:sz w:val="24"/>
          <w:szCs w:val="24"/>
          <w:lang w:val="en-US" w:eastAsia="ru-RU"/>
        </w:rPr>
        <w:t>Characteristics</w:t>
      </w:r>
      <w:r w:rsidRPr="00560DDF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>–</w:t>
      </w:r>
      <w:r w:rsidRPr="00560DDF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val="en-US" w:eastAsia="ru-RU"/>
        </w:rPr>
        <w:t>All</w:t>
      </w:r>
      <w:r w:rsidRPr="00560DDF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val="en-US" w:eastAsia="ru-RU"/>
        </w:rPr>
        <w:t>Margins</w:t>
      </w:r>
      <w:r w:rsidR="00C61E57" w:rsidRPr="00C61E57">
        <w:rPr>
          <w:sz w:val="24"/>
          <w:szCs w:val="24"/>
          <w:lang w:eastAsia="ru-RU"/>
        </w:rPr>
        <w:t xml:space="preserve"> – подвести </w:t>
      </w:r>
      <w:r w:rsidR="00C61E57">
        <w:rPr>
          <w:sz w:val="24"/>
          <w:szCs w:val="24"/>
          <w:lang w:eastAsia="ru-RU"/>
        </w:rPr>
        <w:t>маркер к точкам пересечения АФЧХ с осью абсцисс и с единичной окружностью</w:t>
      </w:r>
      <w:r w:rsidRPr="00560DDF">
        <w:rPr>
          <w:sz w:val="24"/>
          <w:szCs w:val="24"/>
          <w:lang w:eastAsia="ru-RU"/>
        </w:rPr>
        <w:t>)</w:t>
      </w:r>
      <w:r w:rsidR="002944A9">
        <w:rPr>
          <w:sz w:val="24"/>
          <w:szCs w:val="24"/>
          <w:lang w:eastAsia="ru-RU"/>
        </w:rPr>
        <w:t>.</w:t>
      </w:r>
    </w:p>
    <w:p w:rsidR="00904237" w:rsidRDefault="00794979">
      <w:pPr>
        <w:pStyle w:val="a7"/>
        <w:rPr>
          <w:rFonts w:ascii="Courier New" w:hAnsi="Courier New"/>
          <w:i/>
        </w:rPr>
      </w:pPr>
      <w:r>
        <w:rPr>
          <w:rFonts w:ascii="Courier New" w:hAnsi="Courier New"/>
          <w:i/>
          <w:noProof/>
          <w:lang w:eastAsia="ru-RU"/>
        </w:rPr>
        <w:drawing>
          <wp:inline distT="0" distB="0" distL="0" distR="0">
            <wp:extent cx="3078889" cy="2305050"/>
            <wp:effectExtent l="19050" t="0" r="7211" b="0"/>
            <wp:docPr id="15" name="Picture 13" descr="la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b5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404" cy="2306933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4237" w:rsidRDefault="0080086E">
      <w:pPr>
        <w:pStyle w:val="a7"/>
        <w:spacing w:after="283"/>
        <w:rPr>
          <w:i/>
        </w:rPr>
      </w:pPr>
      <w:r>
        <w:rPr>
          <w:i/>
        </w:rPr>
        <w:t xml:space="preserve">Рисунок 5. АФЧХ разомкнутой системы </w:t>
      </w:r>
    </w:p>
    <w:p w:rsidR="00904237" w:rsidRDefault="0080086E">
      <w:pPr>
        <w:pStyle w:val="a7"/>
        <w:spacing w:after="283"/>
        <w:jc w:val="both"/>
      </w:pPr>
      <w:r>
        <w:t xml:space="preserve">Замкнутая система устойчива т.к. </w:t>
      </w:r>
      <w:r w:rsidR="00C06467">
        <w:t xml:space="preserve">АФЧХ </w:t>
      </w:r>
      <w:r>
        <w:t>разомкнут</w:t>
      </w:r>
      <w:r w:rsidR="00C06467">
        <w:t>ой</w:t>
      </w:r>
      <w:r>
        <w:t xml:space="preserve"> систем</w:t>
      </w:r>
      <w:r w:rsidR="00111065">
        <w:t>ы</w:t>
      </w:r>
      <w:r>
        <w:t xml:space="preserve"> не охватывает точку</w:t>
      </w:r>
      <w:r w:rsidR="00C06467">
        <w:t xml:space="preserve">    </w:t>
      </w:r>
      <w:r>
        <w:t xml:space="preserve"> </w:t>
      </w:r>
      <w:r w:rsidR="00C06467">
        <w:t>(</w:t>
      </w:r>
      <w:r>
        <w:t>-1,</w:t>
      </w:r>
      <w:r w:rsidR="00C06467">
        <w:t xml:space="preserve"> </w:t>
      </w:r>
      <w:r>
        <w:t>j0</w:t>
      </w:r>
      <w:r w:rsidR="00C06467">
        <w:t>).</w:t>
      </w:r>
    </w:p>
    <w:p w:rsidR="00904237" w:rsidRDefault="0080086E">
      <w:pPr>
        <w:pStyle w:val="a7"/>
        <w:spacing w:after="283"/>
        <w:jc w:val="both"/>
      </w:pPr>
      <w:r>
        <w:t>В условиях эксплуатации параметры системы по тем или иным причинам могут меняться в определенных пределах (старение, температурные колебания и т.п.). Эти колебания параметров могут привести к потере устойчивости системы, если она работает вблизи границы устойчивости. Поэтому стремятся спроектировать САУ так, чтобы она работала вдали от границы устойчивости. Степень этого удаления называют запасом устойчивости.</w:t>
      </w:r>
    </w:p>
    <w:p w:rsidR="00904237" w:rsidRPr="009D4D91" w:rsidRDefault="0080086E" w:rsidP="009D4D91">
      <w:pPr>
        <w:pStyle w:val="a7"/>
        <w:spacing w:after="283"/>
        <w:jc w:val="both"/>
      </w:pPr>
      <w:r w:rsidRPr="009D4D91">
        <w:t>Согласно критери</w:t>
      </w:r>
      <w:r w:rsidR="002944A9" w:rsidRPr="009D4D91">
        <w:t>ю</w:t>
      </w:r>
      <w:r w:rsidRPr="009D4D91">
        <w:t xml:space="preserve"> Найквиста, чем дальше АФЧХ от критической точки (-1, j0), тем больше запас устойчивости. Различают запасы устойчивости по модулю и по фазе.</w:t>
      </w:r>
    </w:p>
    <w:p w:rsidR="00904237" w:rsidRPr="009D4D91" w:rsidRDefault="00794979" w:rsidP="009D4D91">
      <w:pPr>
        <w:pStyle w:val="a7"/>
        <w:jc w:val="both"/>
      </w:pPr>
      <w:r w:rsidRPr="009D4D91">
        <w:rPr>
          <w:noProof/>
          <w:lang w:eastAsia="ru-RU"/>
        </w:rPr>
        <w:drawing>
          <wp:anchor distT="0" distB="0" distL="0" distR="0" simplePos="0" relativeHeight="251655168" behindDoc="0" locked="0" layoutInCell="1" allowOverlap="1">
            <wp:simplePos x="0" y="0"/>
            <wp:positionH relativeFrom="column">
              <wp:posOffset>2240915</wp:posOffset>
            </wp:positionH>
            <wp:positionV relativeFrom="paragraph">
              <wp:posOffset>824865</wp:posOffset>
            </wp:positionV>
            <wp:extent cx="1351915" cy="1466215"/>
            <wp:effectExtent l="19050" t="0" r="63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915" cy="146621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0086E" w:rsidRPr="009D4D91">
        <w:rPr>
          <w:i/>
        </w:rPr>
        <w:t>Запас устойчивости по модулю</w:t>
      </w:r>
      <w:r w:rsidR="0080086E" w:rsidRPr="009D4D91">
        <w:t xml:space="preserve"> характеризует удаление годографа АФЧХ разомкнутой САУ от критической точки в направлении вещественной оси и определяется расстоянием h от критической точки до точки пересечения годографом оси абсцисс </w:t>
      </w:r>
    </w:p>
    <w:p w:rsidR="00904237" w:rsidRDefault="0080086E" w:rsidP="009D4D91">
      <w:pPr>
        <w:pStyle w:val="a7"/>
        <w:spacing w:after="283"/>
        <w:jc w:val="both"/>
      </w:pPr>
      <w:r w:rsidRPr="009D4D91">
        <w:rPr>
          <w:i/>
        </w:rPr>
        <w:t xml:space="preserve">Запас устойчивости по фазе </w:t>
      </w:r>
      <w:r w:rsidRPr="009D4D91">
        <w:t>характеризует удаление годографа от критической точки</w:t>
      </w:r>
      <w:r>
        <w:t xml:space="preserve"> </w:t>
      </w:r>
      <w:r>
        <w:lastRenderedPageBreak/>
        <w:t>по дуге окружности единичного радиуса и определяется углом  между отрицательным направлением вещественной полуоси и лучом, проведенным из начала координат в точку пересечения годографа с единичной окружностью.</w:t>
      </w:r>
    </w:p>
    <w:p w:rsidR="00904237" w:rsidRPr="009D4D91" w:rsidRDefault="00794979" w:rsidP="00111065">
      <w:pPr>
        <w:pStyle w:val="a7"/>
        <w:jc w:val="both"/>
      </w:pPr>
      <w:r>
        <w:rPr>
          <w:noProof/>
          <w:lang w:eastAsia="ru-RU"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column">
              <wp:posOffset>2909570</wp:posOffset>
            </wp:positionH>
            <wp:positionV relativeFrom="paragraph">
              <wp:posOffset>1585595</wp:posOffset>
            </wp:positionV>
            <wp:extent cx="1351915" cy="1466850"/>
            <wp:effectExtent l="19050" t="0" r="63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915" cy="14668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0086E">
        <w:t xml:space="preserve">Как уже отмечалось, с ростом коэффициента передачи разомкнутой САУ растет модуль </w:t>
      </w:r>
      <w:r w:rsidR="0080086E" w:rsidRPr="009D4D91">
        <w:t>каждой точки АФЧХ и при некотором значении K = K</w:t>
      </w:r>
      <w:r w:rsidR="0080086E" w:rsidRPr="009D4D91">
        <w:rPr>
          <w:position w:val="-7"/>
          <w:sz w:val="20"/>
        </w:rPr>
        <w:t>кр</w:t>
      </w:r>
      <w:r w:rsidR="0080086E" w:rsidRPr="009D4D91">
        <w:t xml:space="preserve"> АФЧХ пройдет через критическую точку (рис.76) и попадет на границу устойчивости, а при K &gt; K</w:t>
      </w:r>
      <w:r w:rsidR="0080086E" w:rsidRPr="009D4D91">
        <w:rPr>
          <w:position w:val="-7"/>
          <w:sz w:val="20"/>
        </w:rPr>
        <w:t>кр</w:t>
      </w:r>
      <w:r w:rsidR="0080086E" w:rsidRPr="009D4D91">
        <w:t xml:space="preserve"> замкнутая САУ станет неустойчива. Однако в случае “клювообразных” АФЧХ (получаются из-за наличия внутренних обратных связей) не только увеличение, но и уменьшение K может привести к потере устойчивости замкнутых САУ (рис.77). В этом случае запас устойчивости определяется двумя отрезками h</w:t>
      </w:r>
      <w:r w:rsidR="0080086E" w:rsidRPr="009D4D91">
        <w:rPr>
          <w:position w:val="-7"/>
          <w:sz w:val="20"/>
        </w:rPr>
        <w:t>1</w:t>
      </w:r>
      <w:r w:rsidR="0080086E" w:rsidRPr="009D4D91">
        <w:t xml:space="preserve"> и h</w:t>
      </w:r>
      <w:r w:rsidR="0080086E" w:rsidRPr="009D4D91">
        <w:rPr>
          <w:position w:val="-7"/>
          <w:sz w:val="20"/>
        </w:rPr>
        <w:t>2</w:t>
      </w:r>
      <w:r w:rsidR="0080086E" w:rsidRPr="009D4D91">
        <w:t>, заключенными между критической точкой и АФЧХ.</w:t>
      </w:r>
    </w:p>
    <w:p w:rsidR="00904237" w:rsidRPr="00111065" w:rsidRDefault="00111065">
      <w:pPr>
        <w:pStyle w:val="a7"/>
        <w:spacing w:after="283"/>
        <w:rPr>
          <w:sz w:val="8"/>
          <w:szCs w:val="8"/>
        </w:rPr>
      </w:pPr>
      <w:r w:rsidRPr="00111065">
        <w:rPr>
          <w:noProof/>
          <w:sz w:val="8"/>
          <w:szCs w:val="8"/>
          <w:lang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852170</wp:posOffset>
            </wp:positionH>
            <wp:positionV relativeFrom="paragraph">
              <wp:posOffset>66675</wp:posOffset>
            </wp:positionV>
            <wp:extent cx="1351915" cy="1466850"/>
            <wp:effectExtent l="19050" t="0" r="635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915" cy="14668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04237" w:rsidRDefault="00794979">
      <w:pPr>
        <w:pStyle w:val="a7"/>
        <w:spacing w:after="283"/>
        <w:jc w:val="both"/>
      </w:pPr>
      <w:r w:rsidRPr="009D4D91">
        <w:rPr>
          <w:noProof/>
          <w:lang w:eastAsia="ru-RU"/>
        </w:rPr>
        <w:drawing>
          <wp:anchor distT="0" distB="0" distL="0" distR="0" simplePos="0" relativeHeight="251656192" behindDoc="0" locked="0" layoutInCell="1" allowOverlap="1">
            <wp:simplePos x="0" y="0"/>
            <wp:positionH relativeFrom="column">
              <wp:posOffset>1722120</wp:posOffset>
            </wp:positionH>
            <wp:positionV relativeFrom="paragraph">
              <wp:posOffset>904240</wp:posOffset>
            </wp:positionV>
            <wp:extent cx="2282825" cy="1633220"/>
            <wp:effectExtent l="19050" t="0" r="317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825" cy="16332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0086E" w:rsidRPr="009D4D91">
        <w:t>Обычно при создании САУ задаются требуемыми запасами устойчивости h и , за</w:t>
      </w:r>
      <w:r w:rsidR="0080086E">
        <w:t xml:space="preserve"> пределы которых она выходить не должна. Эти пределы выставляются в виде сектора, вычерчиваемого вокруг критической точки, в который АФЧХ разомкнутой САУ входить не должна (рис.78).</w:t>
      </w:r>
    </w:p>
    <w:p w:rsidR="00904237" w:rsidRDefault="0080086E">
      <w:pPr>
        <w:pStyle w:val="a7"/>
        <w:spacing w:after="283"/>
        <w:rPr>
          <w:b/>
          <w:i/>
        </w:rPr>
      </w:pPr>
      <w:r>
        <w:rPr>
          <w:b/>
          <w:i/>
        </w:rPr>
        <w:t>Анализ устойчивости по ЛЧХ</w:t>
      </w:r>
    </w:p>
    <w:p w:rsidR="00904237" w:rsidRDefault="0080086E">
      <w:pPr>
        <w:pStyle w:val="a7"/>
        <w:spacing w:after="283"/>
        <w:jc w:val="both"/>
      </w:pPr>
      <w:r>
        <w:t>Оценку устойчивости по критерию Найквиста удобнее производить по ЛЧХ разомкнутой САУ. Очевидно, что каждой точке АФЧХ будут соответствовать определенные точки ЛАЧХ и ЛФЧХ.</w:t>
      </w:r>
    </w:p>
    <w:p w:rsidR="00904237" w:rsidRPr="009D4D91" w:rsidRDefault="0080086E">
      <w:pPr>
        <w:pStyle w:val="a7"/>
        <w:spacing w:after="283"/>
        <w:jc w:val="both"/>
      </w:pPr>
      <w:r w:rsidRPr="009D4D91">
        <w:t>Пусть известны частотные характеристики двух разомкнутых САУ (1 и 2), отличающихся друг от друга только коэффициентом передачи K</w:t>
      </w:r>
      <w:r w:rsidRPr="009D4D91">
        <w:rPr>
          <w:position w:val="-7"/>
          <w:sz w:val="20"/>
        </w:rPr>
        <w:t>1</w:t>
      </w:r>
      <w:r w:rsidRPr="009D4D91">
        <w:t xml:space="preserve"> &lt; K</w:t>
      </w:r>
      <w:r w:rsidRPr="009D4D91">
        <w:rPr>
          <w:position w:val="-7"/>
          <w:sz w:val="20"/>
        </w:rPr>
        <w:t>2</w:t>
      </w:r>
      <w:r w:rsidRPr="009D4D91">
        <w:t xml:space="preserve">. Пусть первая САУ устойчива в замкнутом состоянии, вторая нет.(рис.79). </w:t>
      </w:r>
    </w:p>
    <w:p w:rsidR="00904237" w:rsidRDefault="00794979">
      <w:pPr>
        <w:pStyle w:val="a7"/>
        <w:spacing w:after="283"/>
        <w:rPr>
          <w:i/>
        </w:rPr>
      </w:pPr>
      <w:r>
        <w:rPr>
          <w:noProof/>
          <w:lang w:eastAsia="ru-RU"/>
        </w:rPr>
        <w:lastRenderedPageBreak/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179705</wp:posOffset>
            </wp:positionV>
            <wp:extent cx="5076190" cy="2399665"/>
            <wp:effectExtent l="19050" t="0" r="0" b="0"/>
            <wp:wrapSquare wrapText="largest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190" cy="23996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04237" w:rsidRDefault="00904237">
      <w:pPr>
        <w:pStyle w:val="a7"/>
        <w:spacing w:after="283"/>
        <w:rPr>
          <w:i/>
        </w:rPr>
      </w:pPr>
    </w:p>
    <w:p w:rsidR="00904237" w:rsidRDefault="00904237">
      <w:pPr>
        <w:pStyle w:val="a7"/>
        <w:spacing w:after="283"/>
        <w:jc w:val="left"/>
        <w:rPr>
          <w:b/>
          <w:i/>
        </w:rPr>
      </w:pPr>
    </w:p>
    <w:p w:rsidR="00904237" w:rsidRDefault="00904237">
      <w:pPr>
        <w:pStyle w:val="a7"/>
        <w:spacing w:after="283"/>
        <w:jc w:val="left"/>
        <w:rPr>
          <w:b/>
          <w:i/>
        </w:rPr>
      </w:pPr>
    </w:p>
    <w:p w:rsidR="00904237" w:rsidRDefault="00904237">
      <w:pPr>
        <w:pStyle w:val="a7"/>
        <w:spacing w:after="283"/>
        <w:jc w:val="left"/>
        <w:rPr>
          <w:b/>
          <w:i/>
        </w:rPr>
      </w:pPr>
    </w:p>
    <w:p w:rsidR="00904237" w:rsidRDefault="00904237">
      <w:pPr>
        <w:pStyle w:val="a7"/>
        <w:spacing w:after="283"/>
        <w:jc w:val="left"/>
        <w:rPr>
          <w:b/>
          <w:i/>
        </w:rPr>
      </w:pPr>
    </w:p>
    <w:p w:rsidR="00904237" w:rsidRDefault="00904237">
      <w:pPr>
        <w:pStyle w:val="a7"/>
        <w:spacing w:after="283"/>
        <w:jc w:val="left"/>
        <w:rPr>
          <w:b/>
          <w:i/>
        </w:rPr>
      </w:pPr>
    </w:p>
    <w:p w:rsidR="00904237" w:rsidRDefault="00904237">
      <w:pPr>
        <w:pStyle w:val="a7"/>
        <w:spacing w:after="283"/>
        <w:jc w:val="left"/>
        <w:rPr>
          <w:b/>
          <w:i/>
        </w:rPr>
      </w:pPr>
    </w:p>
    <w:p w:rsidR="00904237" w:rsidRPr="009D4D91" w:rsidRDefault="0080086E" w:rsidP="009D4D91">
      <w:pPr>
        <w:pStyle w:val="a7"/>
        <w:spacing w:after="283"/>
        <w:jc w:val="both"/>
      </w:pPr>
      <w:r w:rsidRPr="009D4D91">
        <w:t>Если W</w:t>
      </w:r>
      <w:r w:rsidRPr="009D4D91">
        <w:rPr>
          <w:position w:val="-7"/>
          <w:sz w:val="20"/>
        </w:rPr>
        <w:t>1</w:t>
      </w:r>
      <w:r w:rsidRPr="009D4D91">
        <w:t>(p) - передаточная функция первой САУ, то передаточная функция второй САУ W</w:t>
      </w:r>
      <w:r w:rsidRPr="009D4D91">
        <w:rPr>
          <w:position w:val="-7"/>
          <w:sz w:val="20"/>
        </w:rPr>
        <w:t>2</w:t>
      </w:r>
      <w:r w:rsidRPr="009D4D91">
        <w:t>(p) = K</w:t>
      </w:r>
      <w:r w:rsidRPr="009D4D91">
        <w:rPr>
          <w:rFonts w:ascii="Symbol" w:eastAsia="Symbol" w:hAnsi="Symbol" w:cs="Symbol"/>
        </w:rPr>
        <w:t></w:t>
      </w:r>
      <w:r w:rsidRPr="009D4D91">
        <w:t>W</w:t>
      </w:r>
      <w:r w:rsidRPr="009D4D91">
        <w:rPr>
          <w:position w:val="-7"/>
          <w:sz w:val="20"/>
        </w:rPr>
        <w:t>1</w:t>
      </w:r>
      <w:r w:rsidRPr="009D4D91">
        <w:t>(p), где K = K</w:t>
      </w:r>
      <w:r w:rsidRPr="009D4D91">
        <w:rPr>
          <w:position w:val="-7"/>
          <w:sz w:val="20"/>
        </w:rPr>
        <w:t>2</w:t>
      </w:r>
      <w:r w:rsidRPr="009D4D91">
        <w:t>/K</w:t>
      </w:r>
      <w:r w:rsidRPr="009D4D91">
        <w:rPr>
          <w:position w:val="-7"/>
          <w:sz w:val="20"/>
        </w:rPr>
        <w:t>1</w:t>
      </w:r>
      <w:r w:rsidRPr="009D4D91">
        <w:t>. Вторую САУ можно представить последовательной цепочкой из двух звеньев с передаточными функциями K (безынерционное звено) и W</w:t>
      </w:r>
      <w:r w:rsidRPr="009D4D91">
        <w:rPr>
          <w:position w:val="-7"/>
          <w:sz w:val="20"/>
        </w:rPr>
        <w:t>1</w:t>
      </w:r>
      <w:r w:rsidRPr="009D4D91">
        <w:t xml:space="preserve">(p), поэтому результирующие ЛЧХ строятся как сумма ЛЧХ каждого из звеньев. </w:t>
      </w:r>
    </w:p>
    <w:p w:rsidR="00904237" w:rsidRDefault="0080086E" w:rsidP="009D4D91">
      <w:pPr>
        <w:pStyle w:val="a7"/>
        <w:spacing w:after="283"/>
        <w:jc w:val="both"/>
      </w:pPr>
      <w:r>
        <w:t xml:space="preserve">Поэтому ЛАЧХ второй САУ: </w:t>
      </w:r>
      <w:r w:rsidRPr="009D4D91">
        <w:t>L</w:t>
      </w:r>
      <w:r w:rsidRPr="009D4D91">
        <w:rPr>
          <w:position w:val="-7"/>
          <w:sz w:val="20"/>
        </w:rPr>
        <w:t>2</w:t>
      </w:r>
      <w:r w:rsidRPr="009D4D91">
        <w:t>(</w:t>
      </w:r>
      <w:r w:rsidRPr="009D4D91">
        <w:rPr>
          <w:rFonts w:ascii="Symbol" w:eastAsia="Symbol" w:hAnsi="Symbol" w:cs="Symbol"/>
          <w:i/>
        </w:rPr>
        <w:t></w:t>
      </w:r>
      <w:r w:rsidRPr="009D4D91">
        <w:t>) = 20lgK + L</w:t>
      </w:r>
      <w:r w:rsidRPr="009D4D91">
        <w:rPr>
          <w:position w:val="-7"/>
          <w:sz w:val="20"/>
        </w:rPr>
        <w:t>1</w:t>
      </w:r>
      <w:r w:rsidRPr="009D4D91">
        <w:t>(</w:t>
      </w:r>
      <w:r w:rsidRPr="009D4D91">
        <w:rPr>
          <w:rFonts w:ascii="Symbol" w:eastAsia="Symbol" w:hAnsi="Symbol" w:cs="Symbol"/>
          <w:i/>
        </w:rPr>
        <w:t></w:t>
      </w:r>
      <w:r w:rsidRPr="009D4D91">
        <w:t>)</w:t>
      </w:r>
      <w:r>
        <w:t xml:space="preserve">,  а ЛФЧХ: </w:t>
      </w:r>
      <w:r>
        <w:rPr>
          <w:rFonts w:ascii="Symbol" w:eastAsia="Symbol" w:hAnsi="Symbol" w:cs="Symbol"/>
        </w:rPr>
        <w:t></w:t>
      </w:r>
      <w:r w:rsidRPr="009D4D91">
        <w:rPr>
          <w:position w:val="-7"/>
          <w:sz w:val="20"/>
        </w:rPr>
        <w:t>2</w:t>
      </w:r>
      <w:r w:rsidRPr="009D4D91">
        <w:t>(</w:t>
      </w:r>
      <w:r w:rsidRPr="009D4D91">
        <w:rPr>
          <w:rFonts w:ascii="Symbol" w:eastAsia="Symbol" w:hAnsi="Symbol" w:cs="Symbol"/>
          <w:i/>
        </w:rPr>
        <w:t></w:t>
      </w:r>
      <w:r w:rsidRPr="009D4D91">
        <w:t>) =</w:t>
      </w:r>
      <w:r w:rsidRPr="009D4D91">
        <w:rPr>
          <w:rFonts w:ascii="Symbol" w:eastAsia="Symbol" w:hAnsi="Symbol" w:cs="Symbol"/>
        </w:rPr>
        <w:t></w:t>
      </w:r>
      <w:r w:rsidRPr="009D4D91">
        <w:rPr>
          <w:position w:val="-7"/>
          <w:sz w:val="20"/>
        </w:rPr>
        <w:t>1</w:t>
      </w:r>
      <w:r w:rsidRPr="009D4D91">
        <w:t>(</w:t>
      </w:r>
      <w:r w:rsidRPr="009D4D91">
        <w:rPr>
          <w:rFonts w:ascii="Symbol" w:eastAsia="Symbol" w:hAnsi="Symbol" w:cs="Symbol"/>
          <w:i/>
        </w:rPr>
        <w:t></w:t>
      </w:r>
      <w:r w:rsidRPr="009D4D91">
        <w:t>).</w:t>
      </w:r>
      <w:r>
        <w:t xml:space="preserve"> </w:t>
      </w:r>
    </w:p>
    <w:p w:rsidR="00904237" w:rsidRPr="009D4D91" w:rsidRDefault="0080086E" w:rsidP="009D4D91">
      <w:pPr>
        <w:pStyle w:val="a7"/>
        <w:spacing w:after="283"/>
        <w:jc w:val="both"/>
      </w:pPr>
      <w:r w:rsidRPr="009D4D91">
        <w:t xml:space="preserve">Пересечениям АФЧХ вещественной оси соответствует значение фазы </w:t>
      </w:r>
      <w:r w:rsidRPr="009D4D91">
        <w:rPr>
          <w:rFonts w:ascii="Symbol" w:eastAsia="Symbol" w:hAnsi="Symbol" w:cs="Symbol"/>
        </w:rPr>
        <w:t></w:t>
      </w:r>
      <w:r w:rsidRPr="009D4D91">
        <w:t xml:space="preserve"> = -</w:t>
      </w:r>
      <w:r w:rsidRPr="009D4D91">
        <w:rPr>
          <w:rFonts w:ascii="Symbol" w:eastAsia="Symbol" w:hAnsi="Symbol" w:cs="Symbol"/>
        </w:rPr>
        <w:t></w:t>
      </w:r>
      <w:r w:rsidRPr="009D4D91">
        <w:t xml:space="preserve">. Это соответствует точке пересечения ЛФЧХ </w:t>
      </w:r>
      <w:r w:rsidRPr="009D4D91">
        <w:rPr>
          <w:rFonts w:ascii="Symbol" w:eastAsia="Symbol" w:hAnsi="Symbol" w:cs="Symbol"/>
        </w:rPr>
        <w:t></w:t>
      </w:r>
      <w:r w:rsidRPr="009D4D91">
        <w:t xml:space="preserve"> = -</w:t>
      </w:r>
      <w:r w:rsidRPr="009D4D91">
        <w:rPr>
          <w:rFonts w:ascii="Symbol" w:eastAsia="Symbol" w:hAnsi="Symbol" w:cs="Symbol"/>
        </w:rPr>
        <w:t></w:t>
      </w:r>
      <w:r w:rsidRPr="009D4D91">
        <w:t xml:space="preserve"> линии координатной сетки. При этом, как видно на АФЧХ, амплитуды A</w:t>
      </w:r>
      <w:r w:rsidRPr="009D4D91">
        <w:rPr>
          <w:position w:val="-7"/>
          <w:sz w:val="20"/>
        </w:rPr>
        <w:t>1</w:t>
      </w:r>
      <w:r w:rsidRPr="009D4D91">
        <w:t>(</w:t>
      </w:r>
      <w:r w:rsidRPr="009D4D91">
        <w:rPr>
          <w:rFonts w:ascii="Symbol" w:eastAsia="Symbol" w:hAnsi="Symbol" w:cs="Symbol"/>
          <w:i/>
        </w:rPr>
        <w:t></w:t>
      </w:r>
      <w:r w:rsidRPr="009D4D91">
        <w:t>) &lt; 1, A</w:t>
      </w:r>
      <w:r w:rsidRPr="009D4D91">
        <w:rPr>
          <w:position w:val="-7"/>
          <w:sz w:val="20"/>
        </w:rPr>
        <w:t>2</w:t>
      </w:r>
      <w:r w:rsidRPr="009D4D91">
        <w:t>(</w:t>
      </w:r>
      <w:r w:rsidRPr="009D4D91">
        <w:rPr>
          <w:rFonts w:ascii="Symbol" w:eastAsia="Symbol" w:hAnsi="Symbol" w:cs="Symbol"/>
          <w:i/>
        </w:rPr>
        <w:t></w:t>
      </w:r>
      <w:r w:rsidRPr="009D4D91">
        <w:t>) &gt; 1, что соответствует на САЧХ значениям L</w:t>
      </w:r>
      <w:r w:rsidRPr="009D4D91">
        <w:rPr>
          <w:position w:val="-7"/>
          <w:sz w:val="20"/>
        </w:rPr>
        <w:t>1</w:t>
      </w:r>
      <w:r w:rsidRPr="009D4D91">
        <w:t>(</w:t>
      </w:r>
      <w:r w:rsidRPr="009D4D91">
        <w:rPr>
          <w:rFonts w:ascii="Symbol" w:eastAsia="Symbol" w:hAnsi="Symbol" w:cs="Symbol"/>
          <w:i/>
        </w:rPr>
        <w:t></w:t>
      </w:r>
      <w:r w:rsidRPr="009D4D91">
        <w:t>) = 20lgA</w:t>
      </w:r>
      <w:r w:rsidRPr="009D4D91">
        <w:rPr>
          <w:position w:val="-7"/>
          <w:sz w:val="20"/>
        </w:rPr>
        <w:t>1</w:t>
      </w:r>
      <w:r w:rsidRPr="009D4D91">
        <w:t>(</w:t>
      </w:r>
      <w:r w:rsidRPr="009D4D91">
        <w:rPr>
          <w:rFonts w:ascii="Symbol" w:eastAsia="Symbol" w:hAnsi="Symbol" w:cs="Symbol"/>
          <w:i/>
        </w:rPr>
        <w:t></w:t>
      </w:r>
      <w:r w:rsidRPr="009D4D91">
        <w:t>) &lt; 0 и L</w:t>
      </w:r>
      <w:r w:rsidRPr="009D4D91">
        <w:rPr>
          <w:position w:val="-7"/>
          <w:sz w:val="20"/>
        </w:rPr>
        <w:t>2</w:t>
      </w:r>
      <w:r w:rsidRPr="009D4D91">
        <w:t>(</w:t>
      </w:r>
      <w:r w:rsidRPr="009D4D91">
        <w:rPr>
          <w:rFonts w:ascii="Symbol" w:eastAsia="Symbol" w:hAnsi="Symbol" w:cs="Symbol"/>
          <w:i/>
        </w:rPr>
        <w:t></w:t>
      </w:r>
      <w:r w:rsidRPr="009D4D91">
        <w:t xml:space="preserve">) &gt; 0. </w:t>
      </w:r>
    </w:p>
    <w:p w:rsidR="00904237" w:rsidRPr="009D4D91" w:rsidRDefault="0080086E" w:rsidP="009D4D91">
      <w:pPr>
        <w:pStyle w:val="a7"/>
        <w:spacing w:after="283"/>
        <w:jc w:val="both"/>
      </w:pPr>
      <w:r w:rsidRPr="009D4D91">
        <w:t xml:space="preserve">Сравнивая АФЧХ и ЛФЧХ можно заключить, что система в замкнутом состоянии будет устойчива, если значению ЛФЧХ </w:t>
      </w:r>
      <w:r w:rsidRPr="009D4D91">
        <w:rPr>
          <w:rFonts w:ascii="Symbol" w:eastAsia="Symbol" w:hAnsi="Symbol" w:cs="Symbol"/>
        </w:rPr>
        <w:t></w:t>
      </w:r>
      <w:r w:rsidRPr="009D4D91">
        <w:t xml:space="preserve"> = -</w:t>
      </w:r>
      <w:r w:rsidRPr="009D4D91">
        <w:rPr>
          <w:rFonts w:ascii="Symbol" w:eastAsia="Symbol" w:hAnsi="Symbol" w:cs="Symbol"/>
        </w:rPr>
        <w:t></w:t>
      </w:r>
      <w:r w:rsidRPr="009D4D91">
        <w:t xml:space="preserve"> будут соответствовать отрицательные значения ЛАЧХ и наоборот. Запасам устойчивости по модулю h</w:t>
      </w:r>
      <w:r w:rsidRPr="009D4D91">
        <w:rPr>
          <w:position w:val="-7"/>
          <w:sz w:val="20"/>
        </w:rPr>
        <w:t>1</w:t>
      </w:r>
      <w:r w:rsidRPr="009D4D91">
        <w:t xml:space="preserve"> и h</w:t>
      </w:r>
      <w:r w:rsidRPr="009D4D91">
        <w:rPr>
          <w:position w:val="-7"/>
          <w:sz w:val="20"/>
        </w:rPr>
        <w:t>2</w:t>
      </w:r>
      <w:r w:rsidRPr="009D4D91">
        <w:t xml:space="preserve">, определенным по АФЧХ соответствуют расстояния от оси абсцисс до ЛАЧХ в точках, где </w:t>
      </w:r>
      <w:r w:rsidRPr="009D4D91">
        <w:rPr>
          <w:rFonts w:ascii="Symbol" w:eastAsia="Symbol" w:hAnsi="Symbol" w:cs="Symbol"/>
        </w:rPr>
        <w:t></w:t>
      </w:r>
      <w:r w:rsidRPr="009D4D91">
        <w:t xml:space="preserve"> = -</w:t>
      </w:r>
      <w:r w:rsidRPr="009D4D91">
        <w:rPr>
          <w:rFonts w:ascii="Symbol" w:eastAsia="Symbol" w:hAnsi="Symbol" w:cs="Symbol"/>
        </w:rPr>
        <w:t></w:t>
      </w:r>
      <w:r w:rsidRPr="009D4D91">
        <w:t>, но в логарифмическом масштабе.</w:t>
      </w:r>
    </w:p>
    <w:p w:rsidR="00904237" w:rsidRPr="009D4D91" w:rsidRDefault="0080086E" w:rsidP="009D4D91">
      <w:pPr>
        <w:pStyle w:val="a7"/>
        <w:spacing w:after="283"/>
        <w:jc w:val="both"/>
      </w:pPr>
      <w:r w:rsidRPr="009D4D91">
        <w:t xml:space="preserve">Особыми точками являются точки пересечения АФЧХ с единичной окружностью. Частоты </w:t>
      </w:r>
      <w:r w:rsidRPr="009D4D91">
        <w:rPr>
          <w:rFonts w:ascii="Symbol" w:eastAsia="Symbol" w:hAnsi="Symbol" w:cs="Symbol"/>
          <w:i/>
        </w:rPr>
        <w:t></w:t>
      </w:r>
      <w:r w:rsidRPr="009D4D91">
        <w:rPr>
          <w:position w:val="-7"/>
          <w:sz w:val="20"/>
        </w:rPr>
        <w:t>c1</w:t>
      </w:r>
      <w:r w:rsidRPr="009D4D91">
        <w:t xml:space="preserve"> и </w:t>
      </w:r>
      <w:r w:rsidRPr="009D4D91">
        <w:rPr>
          <w:rFonts w:ascii="Symbol" w:eastAsia="Symbol" w:hAnsi="Symbol" w:cs="Symbol"/>
          <w:i/>
        </w:rPr>
        <w:t></w:t>
      </w:r>
      <w:r w:rsidRPr="009D4D91">
        <w:rPr>
          <w:position w:val="-7"/>
          <w:sz w:val="20"/>
        </w:rPr>
        <w:t>c2</w:t>
      </w:r>
      <w:r w:rsidRPr="009D4D91">
        <w:t>, при которых это происходит</w:t>
      </w:r>
      <w:r w:rsidR="003D1F1E" w:rsidRPr="009D4D91">
        <w:t>,</w:t>
      </w:r>
      <w:r w:rsidRPr="009D4D91">
        <w:t xml:space="preserve"> называют </w:t>
      </w:r>
      <w:r w:rsidRPr="009D4D91">
        <w:rPr>
          <w:i/>
        </w:rPr>
        <w:t>частотами среза</w:t>
      </w:r>
      <w:r w:rsidRPr="009D4D91">
        <w:t xml:space="preserve">. </w:t>
      </w:r>
    </w:p>
    <w:p w:rsidR="00904237" w:rsidRPr="009D4D91" w:rsidRDefault="0080086E" w:rsidP="006F2021">
      <w:pPr>
        <w:pStyle w:val="a7"/>
        <w:spacing w:after="283"/>
        <w:jc w:val="both"/>
      </w:pPr>
      <w:r w:rsidRPr="009D4D91">
        <w:t>В точках пересечения A(</w:t>
      </w:r>
      <w:r w:rsidRPr="009D4D91">
        <w:rPr>
          <w:rFonts w:ascii="Symbol" w:eastAsia="Symbol" w:hAnsi="Symbol" w:cs="Symbol"/>
          <w:i/>
        </w:rPr>
        <w:t></w:t>
      </w:r>
      <w:r w:rsidRPr="009D4D91">
        <w:t>) = 1 = &gt; L(</w:t>
      </w:r>
      <w:r w:rsidRPr="009D4D91">
        <w:rPr>
          <w:rFonts w:ascii="Symbol" w:eastAsia="Symbol" w:hAnsi="Symbol" w:cs="Symbol"/>
          <w:i/>
        </w:rPr>
        <w:t></w:t>
      </w:r>
      <w:r w:rsidRPr="009D4D91">
        <w:t xml:space="preserve">) = 0 - ЛАЧХ пересекает горизонтальную ось. Если при частоте среза фаза АФЧХ </w:t>
      </w:r>
      <w:r w:rsidRPr="009D4D91">
        <w:rPr>
          <w:rFonts w:ascii="Symbol" w:eastAsia="Symbol" w:hAnsi="Symbol" w:cs="Symbol"/>
        </w:rPr>
        <w:t></w:t>
      </w:r>
      <w:r w:rsidRPr="009D4D91">
        <w:rPr>
          <w:position w:val="-7"/>
          <w:sz w:val="20"/>
        </w:rPr>
        <w:t xml:space="preserve">c1 </w:t>
      </w:r>
      <w:r w:rsidRPr="009D4D91">
        <w:t>&gt; -</w:t>
      </w:r>
      <w:r w:rsidRPr="009D4D91">
        <w:rPr>
          <w:rFonts w:ascii="Symbol" w:eastAsia="Symbol" w:hAnsi="Symbol" w:cs="Symbol"/>
        </w:rPr>
        <w:t></w:t>
      </w:r>
      <w:r w:rsidRPr="009D4D91">
        <w:t xml:space="preserve"> (рис.79а кривая 1), то замкнутая САУ устойчива. На рис.79б это выглядит так, что пересечению ЛАЧХ горизонтальной оси соответствует точка ЛФЧХ, расположенная выше линии </w:t>
      </w:r>
      <w:r w:rsidRPr="009D4D91">
        <w:rPr>
          <w:rFonts w:ascii="Symbol" w:eastAsia="Symbol" w:hAnsi="Symbol" w:cs="Symbol"/>
        </w:rPr>
        <w:t></w:t>
      </w:r>
      <w:r w:rsidRPr="009D4D91">
        <w:t xml:space="preserve"> = -</w:t>
      </w:r>
      <w:r w:rsidRPr="009D4D91">
        <w:rPr>
          <w:rFonts w:ascii="Symbol" w:eastAsia="Symbol" w:hAnsi="Symbol" w:cs="Symbol"/>
        </w:rPr>
        <w:t></w:t>
      </w:r>
      <w:r w:rsidRPr="009D4D91">
        <w:t xml:space="preserve">. И наоборот для неустойчивой замкнутой САУ (рис.79а кривая 2) </w:t>
      </w:r>
      <w:r w:rsidRPr="009D4D91">
        <w:rPr>
          <w:rFonts w:ascii="Symbol" w:eastAsia="Symbol" w:hAnsi="Symbol" w:cs="Symbol"/>
        </w:rPr>
        <w:t></w:t>
      </w:r>
      <w:r w:rsidRPr="009D4D91">
        <w:rPr>
          <w:position w:val="-7"/>
          <w:sz w:val="20"/>
        </w:rPr>
        <w:t xml:space="preserve">c2 </w:t>
      </w:r>
      <w:r w:rsidRPr="009D4D91">
        <w:t>&lt; -</w:t>
      </w:r>
      <w:r w:rsidRPr="009D4D91">
        <w:rPr>
          <w:rFonts w:ascii="Symbol" w:eastAsia="Symbol" w:hAnsi="Symbol" w:cs="Symbol"/>
        </w:rPr>
        <w:t></w:t>
      </w:r>
      <w:r w:rsidRPr="009D4D91">
        <w:t xml:space="preserve">, поэтому при </w:t>
      </w:r>
      <w:r w:rsidR="00C434BD" w:rsidRPr="009D4D91">
        <w:rPr>
          <w:rFonts w:ascii="Symbol" w:eastAsia="Symbol" w:hAnsi="Symbol" w:cs="Symbol"/>
          <w:i/>
        </w:rPr>
        <w:t></w:t>
      </w:r>
      <w:r w:rsidR="00C434BD">
        <w:t>=</w:t>
      </w:r>
      <w:r w:rsidR="00C434BD" w:rsidRPr="009D4D91">
        <w:rPr>
          <w:rFonts w:ascii="Symbol" w:eastAsia="Symbol" w:hAnsi="Symbol" w:cs="Symbol"/>
          <w:i/>
        </w:rPr>
        <w:t></w:t>
      </w:r>
      <w:r w:rsidR="00C434BD" w:rsidRPr="009D4D91">
        <w:rPr>
          <w:position w:val="-7"/>
          <w:sz w:val="20"/>
        </w:rPr>
        <w:t>c2</w:t>
      </w:r>
      <w:r w:rsidRPr="009D4D91">
        <w:t xml:space="preserve"> ЛФЧХ проходит ниже линии </w:t>
      </w:r>
      <w:r w:rsidRPr="009D4D91">
        <w:rPr>
          <w:rFonts w:ascii="Symbol" w:eastAsia="Symbol" w:hAnsi="Symbol" w:cs="Symbol"/>
        </w:rPr>
        <w:t></w:t>
      </w:r>
      <w:r w:rsidRPr="009D4D91">
        <w:t xml:space="preserve"> = -</w:t>
      </w:r>
      <w:r w:rsidRPr="009D4D91">
        <w:rPr>
          <w:rFonts w:ascii="Symbol" w:eastAsia="Symbol" w:hAnsi="Symbol" w:cs="Symbol"/>
        </w:rPr>
        <w:t></w:t>
      </w:r>
      <w:r w:rsidRPr="009D4D91">
        <w:t xml:space="preserve">. Угол </w:t>
      </w:r>
      <w:r w:rsidRPr="009D4D91">
        <w:rPr>
          <w:rFonts w:ascii="Symbol" w:eastAsia="Symbol" w:hAnsi="Symbol" w:cs="Symbol"/>
        </w:rPr>
        <w:t></w:t>
      </w:r>
      <w:r w:rsidRPr="009D4D91">
        <w:rPr>
          <w:position w:val="-7"/>
          <w:sz w:val="20"/>
        </w:rPr>
        <w:t>1</w:t>
      </w:r>
      <w:r w:rsidRPr="009D4D91">
        <w:t xml:space="preserve"> = </w:t>
      </w:r>
      <w:r w:rsidRPr="009D4D91">
        <w:rPr>
          <w:rFonts w:ascii="Symbol" w:eastAsia="Symbol" w:hAnsi="Symbol" w:cs="Symbol"/>
        </w:rPr>
        <w:t></w:t>
      </w:r>
      <w:r w:rsidRPr="009D4D91">
        <w:rPr>
          <w:position w:val="-7"/>
          <w:sz w:val="20"/>
        </w:rPr>
        <w:t>c1</w:t>
      </w:r>
      <w:r w:rsidRPr="009D4D91">
        <w:t>-(-</w:t>
      </w:r>
      <w:r w:rsidRPr="009D4D91">
        <w:rPr>
          <w:rFonts w:ascii="Symbol" w:eastAsia="Symbol" w:hAnsi="Symbol" w:cs="Symbol"/>
        </w:rPr>
        <w:t></w:t>
      </w:r>
      <w:r w:rsidRPr="009D4D91">
        <w:t xml:space="preserve">) является запасом устойчивости по фазе. Этот угол соответствует расстоянию от линии </w:t>
      </w:r>
      <w:r w:rsidRPr="009D4D91">
        <w:rPr>
          <w:rFonts w:ascii="Symbol" w:eastAsia="Symbol" w:hAnsi="Symbol" w:cs="Symbol"/>
        </w:rPr>
        <w:t></w:t>
      </w:r>
      <w:r w:rsidRPr="009D4D91">
        <w:t xml:space="preserve"> = -</w:t>
      </w:r>
      <w:r w:rsidRPr="009D4D91">
        <w:rPr>
          <w:rFonts w:ascii="Symbol" w:eastAsia="Symbol" w:hAnsi="Symbol" w:cs="Symbol"/>
        </w:rPr>
        <w:t></w:t>
      </w:r>
      <w:r w:rsidRPr="009D4D91">
        <w:t xml:space="preserve"> до ЛФЧХ.</w:t>
      </w:r>
    </w:p>
    <w:p w:rsidR="00904237" w:rsidRPr="009D4D91" w:rsidRDefault="00794979" w:rsidP="009D4D91">
      <w:pPr>
        <w:pStyle w:val="a7"/>
        <w:spacing w:after="283"/>
        <w:jc w:val="both"/>
      </w:pPr>
      <w:r w:rsidRPr="009D4D91">
        <w:rPr>
          <w:noProof/>
          <w:lang w:eastAsia="ru-RU"/>
        </w:rPr>
        <w:lastRenderedPageBreak/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1097280</wp:posOffset>
            </wp:positionV>
            <wp:extent cx="4982210" cy="2070100"/>
            <wp:effectExtent l="19050" t="0" r="889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210" cy="20701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0086E" w:rsidRPr="009D4D91">
        <w:t xml:space="preserve">Исходя из сказанного, </w:t>
      </w:r>
      <w:r w:rsidR="0080086E" w:rsidRPr="009D4D91">
        <w:rPr>
          <w:i/>
        </w:rPr>
        <w:t>критерий устойчивости Найквиста по логарифмическим</w:t>
      </w:r>
      <w:r w:rsidR="0080086E" w:rsidRPr="009D4D91">
        <w:t xml:space="preserve"> ЧХ, в случаях, когда АФЧХ только один раз пересекает отрезок вещественной оси [-</w:t>
      </w:r>
      <w:r w:rsidR="0080086E" w:rsidRPr="009D4D91">
        <w:rPr>
          <w:rFonts w:ascii="Symbol" w:eastAsia="Symbol" w:hAnsi="Symbol" w:cs="Symbol"/>
        </w:rPr>
        <w:t></w:t>
      </w:r>
      <w:r w:rsidR="0080086E" w:rsidRPr="009D4D91">
        <w:t xml:space="preserve">;-1], можно сформулировать так: для того, чтобы замкнутая САУ была устойчива необходимо и достаточно, чтобы частота, при которой ЛФЧХ пересекает линию </w:t>
      </w:r>
      <w:r w:rsidR="0080086E" w:rsidRPr="009D4D91">
        <w:rPr>
          <w:rFonts w:ascii="Symbol" w:eastAsia="Symbol" w:hAnsi="Symbol" w:cs="Symbol"/>
        </w:rPr>
        <w:t></w:t>
      </w:r>
      <w:r w:rsidR="0080086E" w:rsidRPr="009D4D91">
        <w:t xml:space="preserve"> = -</w:t>
      </w:r>
      <w:r w:rsidR="0080086E" w:rsidRPr="009D4D91">
        <w:rPr>
          <w:rFonts w:ascii="Symbol" w:eastAsia="Symbol" w:hAnsi="Symbol" w:cs="Symbol"/>
        </w:rPr>
        <w:t></w:t>
      </w:r>
      <w:r w:rsidR="0080086E" w:rsidRPr="009D4D91">
        <w:t>, была больше частоты среза.</w:t>
      </w:r>
    </w:p>
    <w:p w:rsidR="00904237" w:rsidRDefault="00904237">
      <w:pPr>
        <w:pStyle w:val="a7"/>
        <w:spacing w:after="283"/>
        <w:jc w:val="left"/>
        <w:rPr>
          <w:i/>
        </w:rPr>
      </w:pPr>
    </w:p>
    <w:p w:rsidR="00904237" w:rsidRDefault="0080086E">
      <w:pPr>
        <w:pStyle w:val="a7"/>
        <w:spacing w:after="283"/>
        <w:jc w:val="both"/>
      </w:pPr>
      <w:r>
        <w:t xml:space="preserve">Если АФЧХ разомкнутой САУ имеет сложный вид (рис.80), то ЛФЧХ может несколько </w:t>
      </w:r>
      <w:r w:rsidRPr="006F2021">
        <w:t xml:space="preserve">раз пересекать линию </w:t>
      </w:r>
      <w:r w:rsidRPr="006F2021">
        <w:rPr>
          <w:rFonts w:ascii="Symbol" w:eastAsia="Symbol" w:hAnsi="Symbol" w:cs="Symbol"/>
        </w:rPr>
        <w:t></w:t>
      </w:r>
      <w:r w:rsidRPr="006F2021">
        <w:t xml:space="preserve"> = -</w:t>
      </w:r>
      <w:r w:rsidRPr="006F2021">
        <w:rPr>
          <w:rFonts w:ascii="Symbol" w:eastAsia="Symbol" w:hAnsi="Symbol" w:cs="Symbol"/>
        </w:rPr>
        <w:t></w:t>
      </w:r>
      <w:r w:rsidRPr="006F2021">
        <w:t>. В этом случае применение критерия Найквиста несколько</w:t>
      </w:r>
      <w:r>
        <w:t xml:space="preserve"> усложняется. Однако во многих случаях данной формулировки критерия Найквиста оказывается достаточно.</w:t>
      </w:r>
    </w:p>
    <w:p w:rsidR="002A4F1E" w:rsidRPr="00E51175" w:rsidRDefault="002A4F1E" w:rsidP="0073763C">
      <w:pPr>
        <w:pStyle w:val="a7"/>
        <w:jc w:val="both"/>
        <w:rPr>
          <w:b/>
          <w:sz w:val="28"/>
          <w:szCs w:val="28"/>
        </w:rPr>
      </w:pPr>
      <w:r w:rsidRPr="00E51175">
        <w:rPr>
          <w:b/>
          <w:sz w:val="28"/>
          <w:szCs w:val="28"/>
        </w:rPr>
        <w:t>Порядок выполнения работы:</w:t>
      </w:r>
    </w:p>
    <w:p w:rsidR="002A4F1E" w:rsidRDefault="00E51175" w:rsidP="0073763C">
      <w:pPr>
        <w:pStyle w:val="a7"/>
        <w:numPr>
          <w:ilvl w:val="0"/>
          <w:numId w:val="2"/>
        </w:numPr>
        <w:ind w:left="567"/>
        <w:jc w:val="both"/>
      </w:pPr>
      <w:r>
        <w:t>Выбрать по варианту из таблицы 1 передаточную функцию системы. Построить для нее кривую Найквиста</w:t>
      </w:r>
      <w:r w:rsidR="002944A9">
        <w:t xml:space="preserve"> (операторами </w:t>
      </w:r>
      <w:r w:rsidR="002944A9" w:rsidRPr="002944A9">
        <w:t>“</w:t>
      </w:r>
      <w:r w:rsidR="002944A9" w:rsidRPr="002944A9">
        <w:rPr>
          <w:rFonts w:ascii="Courier New" w:hAnsi="Courier New" w:cs="Courier New"/>
        </w:rPr>
        <w:t>plot”</w:t>
      </w:r>
      <w:r w:rsidR="002944A9">
        <w:t xml:space="preserve"> и </w:t>
      </w:r>
      <w:r w:rsidR="002944A9" w:rsidRPr="002944A9">
        <w:t>“</w:t>
      </w:r>
      <w:r w:rsidR="002944A9" w:rsidRPr="002944A9">
        <w:rPr>
          <w:rFonts w:ascii="Courier New" w:hAnsi="Courier New" w:cs="Courier New"/>
        </w:rPr>
        <w:t>nyquist”</w:t>
      </w:r>
      <w:r w:rsidR="00311BCE">
        <w:rPr>
          <w:rFonts w:ascii="Courier New" w:hAnsi="Courier New" w:cs="Courier New"/>
        </w:rPr>
        <w:t xml:space="preserve"> либо </w:t>
      </w:r>
      <w:r w:rsidR="00311BCE" w:rsidRPr="00311BCE">
        <w:rPr>
          <w:rFonts w:ascii="Courier New" w:hAnsi="Courier New" w:cs="Courier New"/>
        </w:rPr>
        <w:t>“</w:t>
      </w:r>
      <w:r w:rsidR="00311BCE">
        <w:rPr>
          <w:rFonts w:ascii="Courier New" w:hAnsi="Courier New" w:cs="Courier New"/>
          <w:lang w:val="en-US"/>
        </w:rPr>
        <w:t>ltiview</w:t>
      </w:r>
      <w:r w:rsidR="00311BCE" w:rsidRPr="00311BCE">
        <w:rPr>
          <w:rFonts w:ascii="Courier New" w:hAnsi="Courier New" w:cs="Courier New"/>
        </w:rPr>
        <w:t>”</w:t>
      </w:r>
      <w:r w:rsidR="002944A9">
        <w:t xml:space="preserve"> на отдельных графиках)</w:t>
      </w:r>
      <w:r>
        <w:t>.</w:t>
      </w:r>
    </w:p>
    <w:p w:rsidR="00E51175" w:rsidRDefault="00E51175" w:rsidP="0073763C">
      <w:pPr>
        <w:pStyle w:val="a7"/>
        <w:numPr>
          <w:ilvl w:val="0"/>
          <w:numId w:val="2"/>
        </w:numPr>
        <w:ind w:left="567"/>
        <w:jc w:val="both"/>
      </w:pPr>
      <w:r>
        <w:t>Определить запасы устойчивости системы по амплитуде и фазе.</w:t>
      </w:r>
    </w:p>
    <w:p w:rsidR="00E51175" w:rsidRDefault="00E51175" w:rsidP="0073763C">
      <w:pPr>
        <w:pStyle w:val="a7"/>
        <w:numPr>
          <w:ilvl w:val="0"/>
          <w:numId w:val="2"/>
        </w:numPr>
        <w:ind w:left="567"/>
        <w:jc w:val="both"/>
      </w:pPr>
      <w:r>
        <w:t xml:space="preserve">Построить переходную функцию </w:t>
      </w:r>
      <w:r w:rsidR="004A55B5">
        <w:t>и</w:t>
      </w:r>
      <w:r>
        <w:t xml:space="preserve"> ЛАФЧХ</w:t>
      </w:r>
      <w:r w:rsidR="004A55B5">
        <w:t xml:space="preserve"> </w:t>
      </w:r>
      <w:r w:rsidR="004A55B5" w:rsidRPr="004A55B5">
        <w:rPr>
          <w:b/>
          <w:i/>
        </w:rPr>
        <w:t>для замкнутой системы</w:t>
      </w:r>
      <w:r>
        <w:t>, определить запасы устойчивости по амплитуде и фазе.</w:t>
      </w:r>
    </w:p>
    <w:p w:rsidR="00E51175" w:rsidRDefault="00E51175" w:rsidP="0073763C">
      <w:pPr>
        <w:pStyle w:val="a7"/>
        <w:numPr>
          <w:ilvl w:val="0"/>
          <w:numId w:val="2"/>
        </w:numPr>
        <w:ind w:left="567"/>
        <w:jc w:val="both"/>
      </w:pPr>
      <w:r>
        <w:t>Сравнить запасы устойчивости, полученные разными методами.</w:t>
      </w:r>
    </w:p>
    <w:p w:rsidR="00E51175" w:rsidRDefault="00E51175" w:rsidP="0073763C">
      <w:pPr>
        <w:pStyle w:val="a7"/>
        <w:numPr>
          <w:ilvl w:val="0"/>
          <w:numId w:val="2"/>
        </w:numPr>
        <w:ind w:left="567"/>
        <w:jc w:val="both"/>
      </w:pPr>
      <w:r>
        <w:t>Путем изменения передаточного коэффициента перевести систему в состояние устойчивости, неустойчивости</w:t>
      </w:r>
      <w:r w:rsidR="004A55B5">
        <w:t xml:space="preserve"> и</w:t>
      </w:r>
      <w:r>
        <w:t xml:space="preserve"> на границе устойчивости. Построить для них графики кривых Найквиста</w:t>
      </w:r>
      <w:r w:rsidR="002944A9">
        <w:t xml:space="preserve"> (на одном графике – для сохранения предыдущих графиков используется оператор </w:t>
      </w:r>
      <w:r w:rsidR="002944A9" w:rsidRPr="002944A9">
        <w:t>“</w:t>
      </w:r>
      <w:r w:rsidR="002944A9" w:rsidRPr="002944A9">
        <w:rPr>
          <w:rFonts w:ascii="Courier New" w:hAnsi="Courier New" w:cs="Courier New"/>
        </w:rPr>
        <w:t>hold on”</w:t>
      </w:r>
      <w:r w:rsidR="002944A9">
        <w:t>)</w:t>
      </w:r>
      <w:r>
        <w:t>, переходной функции, ЛАФЧХ.</w:t>
      </w:r>
    </w:p>
    <w:p w:rsidR="0073763C" w:rsidRDefault="0073763C" w:rsidP="0073763C">
      <w:pPr>
        <w:pStyle w:val="a7"/>
        <w:ind w:left="720"/>
        <w:jc w:val="both"/>
      </w:pPr>
    </w:p>
    <w:p w:rsidR="00E51175" w:rsidRDefault="00E51175" w:rsidP="0073763C">
      <w:pPr>
        <w:pStyle w:val="a7"/>
        <w:jc w:val="both"/>
        <w:rPr>
          <w:b/>
          <w:sz w:val="28"/>
          <w:szCs w:val="28"/>
        </w:rPr>
      </w:pPr>
      <w:r w:rsidRPr="00E51175">
        <w:rPr>
          <w:b/>
          <w:sz w:val="28"/>
          <w:szCs w:val="28"/>
        </w:rPr>
        <w:t>Содержание отчета:</w:t>
      </w:r>
    </w:p>
    <w:p w:rsidR="0073763C" w:rsidRPr="0073763C" w:rsidRDefault="0073763C" w:rsidP="0073763C">
      <w:pPr>
        <w:ind w:firstLine="720"/>
        <w:jc w:val="both"/>
        <w:rPr>
          <w:sz w:val="24"/>
          <w:szCs w:val="24"/>
        </w:rPr>
      </w:pPr>
      <w:r w:rsidRPr="0073763C">
        <w:rPr>
          <w:sz w:val="24"/>
          <w:szCs w:val="24"/>
        </w:rPr>
        <w:t>1. Цель работы.</w:t>
      </w:r>
    </w:p>
    <w:p w:rsidR="0073763C" w:rsidRPr="0073763C" w:rsidRDefault="0073763C" w:rsidP="0073763C">
      <w:pPr>
        <w:ind w:firstLine="720"/>
        <w:jc w:val="both"/>
        <w:rPr>
          <w:sz w:val="24"/>
          <w:szCs w:val="24"/>
        </w:rPr>
      </w:pPr>
      <w:r w:rsidRPr="0073763C">
        <w:rPr>
          <w:sz w:val="24"/>
          <w:szCs w:val="24"/>
        </w:rPr>
        <w:t>2. Порядок выполнения работы.</w:t>
      </w:r>
    </w:p>
    <w:p w:rsidR="0073763C" w:rsidRPr="0073763C" w:rsidRDefault="0073763C" w:rsidP="0073763C">
      <w:pPr>
        <w:ind w:firstLine="720"/>
        <w:jc w:val="both"/>
        <w:rPr>
          <w:sz w:val="24"/>
          <w:szCs w:val="24"/>
        </w:rPr>
      </w:pPr>
      <w:r w:rsidRPr="0073763C">
        <w:rPr>
          <w:sz w:val="24"/>
          <w:szCs w:val="24"/>
        </w:rPr>
        <w:t>3. Результаты работы.</w:t>
      </w:r>
    </w:p>
    <w:p w:rsidR="0073763C" w:rsidRPr="0073763C" w:rsidRDefault="0073763C" w:rsidP="0073763C">
      <w:pPr>
        <w:ind w:firstLine="720"/>
        <w:jc w:val="both"/>
        <w:rPr>
          <w:sz w:val="24"/>
          <w:szCs w:val="24"/>
        </w:rPr>
      </w:pPr>
      <w:r w:rsidRPr="0073763C">
        <w:rPr>
          <w:sz w:val="24"/>
          <w:szCs w:val="24"/>
        </w:rPr>
        <w:t xml:space="preserve">Примечание: этот раздел должен содержать </w:t>
      </w:r>
      <w:r w:rsidR="004A55B5">
        <w:rPr>
          <w:sz w:val="24"/>
          <w:szCs w:val="24"/>
        </w:rPr>
        <w:t>вид передаточной функции</w:t>
      </w:r>
      <w:r w:rsidRPr="0073763C">
        <w:rPr>
          <w:sz w:val="24"/>
          <w:szCs w:val="24"/>
        </w:rPr>
        <w:t xml:space="preserve">, годографы </w:t>
      </w:r>
      <w:r w:rsidR="004A55B5">
        <w:rPr>
          <w:sz w:val="24"/>
          <w:szCs w:val="24"/>
        </w:rPr>
        <w:t>Найквиста</w:t>
      </w:r>
      <w:r w:rsidRPr="0073763C">
        <w:rPr>
          <w:sz w:val="24"/>
          <w:szCs w:val="24"/>
        </w:rPr>
        <w:t>, переходные функции и графики ЛАХ для систем устойчивых, неустойчивых и на границе устойчивости.</w:t>
      </w:r>
    </w:p>
    <w:p w:rsidR="00E51175" w:rsidRDefault="0073763C" w:rsidP="0073763C">
      <w:pPr>
        <w:pStyle w:val="a7"/>
        <w:jc w:val="both"/>
        <w:rPr>
          <w:szCs w:val="24"/>
        </w:rPr>
      </w:pPr>
      <w:r>
        <w:rPr>
          <w:szCs w:val="24"/>
        </w:rPr>
        <w:t xml:space="preserve">            </w:t>
      </w:r>
      <w:r w:rsidRPr="0073763C">
        <w:rPr>
          <w:szCs w:val="24"/>
        </w:rPr>
        <w:t>4. Выводы.</w:t>
      </w:r>
    </w:p>
    <w:p w:rsidR="00864DEF" w:rsidRDefault="00864DEF" w:rsidP="0073763C">
      <w:pPr>
        <w:pStyle w:val="a7"/>
        <w:jc w:val="both"/>
        <w:rPr>
          <w:szCs w:val="24"/>
        </w:rPr>
      </w:pPr>
    </w:p>
    <w:p w:rsidR="00864DEF" w:rsidRDefault="00864DEF" w:rsidP="0073763C">
      <w:pPr>
        <w:pStyle w:val="a7"/>
        <w:jc w:val="both"/>
        <w:rPr>
          <w:szCs w:val="24"/>
        </w:rPr>
      </w:pPr>
    </w:p>
    <w:p w:rsidR="00864DEF" w:rsidRDefault="00864DEF" w:rsidP="0073763C">
      <w:pPr>
        <w:pStyle w:val="a7"/>
        <w:jc w:val="both"/>
        <w:rPr>
          <w:szCs w:val="24"/>
        </w:rPr>
      </w:pPr>
    </w:p>
    <w:p w:rsidR="00864DEF" w:rsidRDefault="00864DEF" w:rsidP="0073763C">
      <w:pPr>
        <w:pStyle w:val="a7"/>
        <w:jc w:val="both"/>
        <w:rPr>
          <w:b/>
          <w:sz w:val="28"/>
          <w:szCs w:val="28"/>
        </w:rPr>
      </w:pPr>
      <w:r w:rsidRPr="00864DEF">
        <w:rPr>
          <w:b/>
          <w:sz w:val="28"/>
          <w:szCs w:val="28"/>
        </w:rPr>
        <w:lastRenderedPageBreak/>
        <w:t>Контр</w:t>
      </w:r>
      <w:r>
        <w:rPr>
          <w:b/>
          <w:sz w:val="28"/>
          <w:szCs w:val="28"/>
        </w:rPr>
        <w:t>о</w:t>
      </w:r>
      <w:r w:rsidRPr="00864DEF">
        <w:rPr>
          <w:b/>
          <w:sz w:val="28"/>
          <w:szCs w:val="28"/>
        </w:rPr>
        <w:t>льные вопросы</w:t>
      </w:r>
      <w:r>
        <w:rPr>
          <w:b/>
          <w:sz w:val="28"/>
          <w:szCs w:val="28"/>
        </w:rPr>
        <w:t>:</w:t>
      </w:r>
    </w:p>
    <w:p w:rsidR="00864DEF" w:rsidRDefault="00864DEF" w:rsidP="0073763C">
      <w:pPr>
        <w:pStyle w:val="a7"/>
        <w:jc w:val="both"/>
        <w:rPr>
          <w:b/>
          <w:sz w:val="28"/>
          <w:szCs w:val="28"/>
        </w:rPr>
      </w:pPr>
    </w:p>
    <w:p w:rsidR="00864DEF" w:rsidRDefault="00864DEF" w:rsidP="00864DEF">
      <w:pPr>
        <w:pStyle w:val="a7"/>
        <w:numPr>
          <w:ilvl w:val="0"/>
          <w:numId w:val="5"/>
        </w:numPr>
        <w:jc w:val="both"/>
        <w:rPr>
          <w:szCs w:val="24"/>
        </w:rPr>
      </w:pPr>
      <w:r>
        <w:rPr>
          <w:szCs w:val="24"/>
        </w:rPr>
        <w:t>Сформулируйте критерий устойчивости Найквиста для случая устойчивой разомкнутой системы.</w:t>
      </w:r>
    </w:p>
    <w:p w:rsidR="00864DEF" w:rsidRDefault="001C29D5" w:rsidP="00864DEF">
      <w:pPr>
        <w:pStyle w:val="a7"/>
        <w:numPr>
          <w:ilvl w:val="0"/>
          <w:numId w:val="5"/>
        </w:numPr>
        <w:jc w:val="both"/>
        <w:rPr>
          <w:szCs w:val="24"/>
        </w:rPr>
      </w:pPr>
      <w:r>
        <w:rPr>
          <w:szCs w:val="24"/>
        </w:rPr>
        <w:t>Как построить годограф Найквиста ? Посчитайте вручную одну точку годографа. Как определяются запасы устойчивости по амплитуде и по фазе ?</w:t>
      </w:r>
    </w:p>
    <w:p w:rsidR="001C29D5" w:rsidRDefault="001C29D5" w:rsidP="00864DEF">
      <w:pPr>
        <w:pStyle w:val="a7"/>
        <w:numPr>
          <w:ilvl w:val="0"/>
          <w:numId w:val="5"/>
        </w:numPr>
        <w:jc w:val="both"/>
        <w:rPr>
          <w:szCs w:val="24"/>
        </w:rPr>
      </w:pPr>
      <w:r>
        <w:rPr>
          <w:szCs w:val="24"/>
        </w:rPr>
        <w:t xml:space="preserve">Почему при анализе устойчивости методом Найквиста критической точкой является (-1, 0), а не (0, 0) ? </w:t>
      </w:r>
    </w:p>
    <w:p w:rsidR="001C29D5" w:rsidRPr="00864DEF" w:rsidRDefault="001C29D5" w:rsidP="00864DEF">
      <w:pPr>
        <w:pStyle w:val="a7"/>
        <w:numPr>
          <w:ilvl w:val="0"/>
          <w:numId w:val="5"/>
        </w:numPr>
        <w:jc w:val="both"/>
        <w:rPr>
          <w:szCs w:val="24"/>
        </w:rPr>
      </w:pPr>
      <w:r>
        <w:rPr>
          <w:szCs w:val="24"/>
        </w:rPr>
        <w:t xml:space="preserve">Определите вручную запас устойчивости по амплитуде по годографу Найквиста и по диаграмме Боде. Докажите, что они имеют одинаковую величину.  </w:t>
      </w:r>
    </w:p>
    <w:sectPr w:rsidR="001C29D5" w:rsidRPr="00864DEF" w:rsidSect="00904237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footnotePr>
        <w:pos w:val="beneathText"/>
      </w:footnotePr>
      <w:type w:val="continuous"/>
      <w:pgSz w:w="11905" w:h="16837"/>
      <w:pgMar w:top="1418" w:right="1418" w:bottom="1418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70DF" w:rsidRDefault="005A70DF">
      <w:r>
        <w:separator/>
      </w:r>
    </w:p>
  </w:endnote>
  <w:endnote w:type="continuationSeparator" w:id="0">
    <w:p w:rsidR="005A70DF" w:rsidRDefault="005A70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237" w:rsidRDefault="00904237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237" w:rsidRDefault="00904237"/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237" w:rsidRDefault="00904237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70DF" w:rsidRDefault="005A70DF">
      <w:r>
        <w:separator/>
      </w:r>
    </w:p>
  </w:footnote>
  <w:footnote w:type="continuationSeparator" w:id="0">
    <w:p w:rsidR="005A70DF" w:rsidRDefault="005A70D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237" w:rsidRDefault="00904237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237" w:rsidRDefault="00904237"/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4237" w:rsidRDefault="00904237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BCE0580"/>
    <w:multiLevelType w:val="hybridMultilevel"/>
    <w:tmpl w:val="65E690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491D6C"/>
    <w:multiLevelType w:val="hybridMultilevel"/>
    <w:tmpl w:val="698EF3B4"/>
    <w:lvl w:ilvl="0" w:tplc="0A6401A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2D7AAD"/>
    <w:multiLevelType w:val="hybridMultilevel"/>
    <w:tmpl w:val="EAE84A96"/>
    <w:lvl w:ilvl="0" w:tplc="EA5428D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611295"/>
    <w:multiLevelType w:val="multilevel"/>
    <w:tmpl w:val="2CD6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stylePaneFormatFilter w:val="3F01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/>
  <w:rsids>
    <w:rsidRoot w:val="00A0684A"/>
    <w:rsid w:val="0003574A"/>
    <w:rsid w:val="00075ED4"/>
    <w:rsid w:val="000900BA"/>
    <w:rsid w:val="000D6D27"/>
    <w:rsid w:val="000F2371"/>
    <w:rsid w:val="00111065"/>
    <w:rsid w:val="00175215"/>
    <w:rsid w:val="0019172A"/>
    <w:rsid w:val="001C29D5"/>
    <w:rsid w:val="0024426C"/>
    <w:rsid w:val="002944A9"/>
    <w:rsid w:val="002A3A49"/>
    <w:rsid w:val="002A4F1E"/>
    <w:rsid w:val="00311BCE"/>
    <w:rsid w:val="00340BD9"/>
    <w:rsid w:val="003D1F1E"/>
    <w:rsid w:val="0040199E"/>
    <w:rsid w:val="004107AA"/>
    <w:rsid w:val="00444FCD"/>
    <w:rsid w:val="004A55B5"/>
    <w:rsid w:val="004D4543"/>
    <w:rsid w:val="00560DDF"/>
    <w:rsid w:val="005A70DF"/>
    <w:rsid w:val="006F2021"/>
    <w:rsid w:val="0073763C"/>
    <w:rsid w:val="00794979"/>
    <w:rsid w:val="0080086E"/>
    <w:rsid w:val="0084717F"/>
    <w:rsid w:val="00864DEF"/>
    <w:rsid w:val="00904237"/>
    <w:rsid w:val="00964026"/>
    <w:rsid w:val="009D2E0C"/>
    <w:rsid w:val="009D4D91"/>
    <w:rsid w:val="009F4DF4"/>
    <w:rsid w:val="00A0684A"/>
    <w:rsid w:val="00B64373"/>
    <w:rsid w:val="00C06467"/>
    <w:rsid w:val="00C434BD"/>
    <w:rsid w:val="00C61E57"/>
    <w:rsid w:val="00D02356"/>
    <w:rsid w:val="00D529F8"/>
    <w:rsid w:val="00E51175"/>
    <w:rsid w:val="00F83D13"/>
    <w:rsid w:val="00FB0AF1"/>
    <w:rsid w:val="4C4918BB"/>
    <w:rsid w:val="7C8F4F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04237"/>
    <w:pPr>
      <w:suppressAutoHyphens/>
    </w:pPr>
    <w:rPr>
      <w:lang w:eastAsia="ar-SA"/>
    </w:rPr>
  </w:style>
  <w:style w:type="paragraph" w:styleId="1">
    <w:name w:val="heading 1"/>
    <w:basedOn w:val="a"/>
    <w:next w:val="a"/>
    <w:qFormat/>
    <w:rsid w:val="00904237"/>
    <w:pPr>
      <w:keepNext/>
      <w:tabs>
        <w:tab w:val="left" w:pos="432"/>
      </w:tabs>
      <w:ind w:left="-426" w:firstLine="852"/>
      <w:jc w:val="both"/>
      <w:outlineLvl w:val="0"/>
    </w:pPr>
    <w:rPr>
      <w:sz w:val="28"/>
      <w:u w:val="single"/>
    </w:rPr>
  </w:style>
  <w:style w:type="paragraph" w:styleId="2">
    <w:name w:val="heading 2"/>
    <w:basedOn w:val="a"/>
    <w:next w:val="a"/>
    <w:qFormat/>
    <w:rsid w:val="00904237"/>
    <w:pPr>
      <w:keepNext/>
      <w:tabs>
        <w:tab w:val="left" w:pos="576"/>
      </w:tabs>
      <w:ind w:firstLine="426"/>
      <w:jc w:val="both"/>
      <w:outlineLvl w:val="1"/>
    </w:pPr>
    <w:rPr>
      <w:sz w:val="28"/>
      <w:u w:val="single"/>
    </w:rPr>
  </w:style>
  <w:style w:type="paragraph" w:styleId="3">
    <w:name w:val="heading 3"/>
    <w:basedOn w:val="a"/>
    <w:next w:val="a"/>
    <w:qFormat/>
    <w:rsid w:val="00904237"/>
    <w:pPr>
      <w:keepNext/>
      <w:tabs>
        <w:tab w:val="left" w:pos="720"/>
      </w:tabs>
      <w:ind w:left="720" w:hanging="720"/>
      <w:outlineLvl w:val="2"/>
    </w:pPr>
    <w:rPr>
      <w:sz w:val="28"/>
      <w:u w:val="single"/>
    </w:rPr>
  </w:style>
  <w:style w:type="paragraph" w:styleId="4">
    <w:name w:val="heading 4"/>
    <w:basedOn w:val="a"/>
    <w:next w:val="a"/>
    <w:qFormat/>
    <w:rsid w:val="00904237"/>
    <w:pPr>
      <w:keepNext/>
      <w:tabs>
        <w:tab w:val="left" w:pos="864"/>
      </w:tabs>
      <w:ind w:firstLine="426"/>
      <w:outlineLvl w:val="3"/>
    </w:pPr>
    <w:rPr>
      <w:sz w:val="28"/>
      <w:u w:val="single"/>
    </w:rPr>
  </w:style>
  <w:style w:type="paragraph" w:styleId="5">
    <w:name w:val="heading 5"/>
    <w:basedOn w:val="a"/>
    <w:next w:val="a"/>
    <w:qFormat/>
    <w:rsid w:val="00904237"/>
    <w:pPr>
      <w:keepNext/>
      <w:tabs>
        <w:tab w:val="left" w:pos="1008"/>
      </w:tabs>
      <w:ind w:left="360"/>
      <w:jc w:val="center"/>
      <w:outlineLvl w:val="4"/>
    </w:pPr>
    <w:rPr>
      <w:b/>
      <w:sz w:val="28"/>
    </w:rPr>
  </w:style>
  <w:style w:type="paragraph" w:styleId="6">
    <w:name w:val="heading 6"/>
    <w:basedOn w:val="a"/>
    <w:next w:val="a"/>
    <w:qFormat/>
    <w:rsid w:val="00904237"/>
    <w:pPr>
      <w:keepNext/>
      <w:tabs>
        <w:tab w:val="left" w:pos="1152"/>
      </w:tabs>
      <w:ind w:left="1152" w:hanging="1152"/>
      <w:outlineLvl w:val="5"/>
    </w:pPr>
    <w:rPr>
      <w:b/>
      <w:i/>
      <w:lang w:val="en-US"/>
    </w:rPr>
  </w:style>
  <w:style w:type="paragraph" w:styleId="7">
    <w:name w:val="heading 7"/>
    <w:basedOn w:val="a"/>
    <w:next w:val="a"/>
    <w:qFormat/>
    <w:rsid w:val="00904237"/>
    <w:pPr>
      <w:keepNext/>
      <w:tabs>
        <w:tab w:val="left" w:pos="1296"/>
      </w:tabs>
      <w:ind w:left="1296" w:hanging="1296"/>
      <w:jc w:val="both"/>
      <w:outlineLvl w:val="6"/>
    </w:pPr>
    <w:rPr>
      <w:sz w:val="28"/>
    </w:rPr>
  </w:style>
  <w:style w:type="paragraph" w:styleId="8">
    <w:name w:val="heading 8"/>
    <w:basedOn w:val="a"/>
    <w:next w:val="a"/>
    <w:qFormat/>
    <w:rsid w:val="00904237"/>
    <w:pPr>
      <w:keepNext/>
      <w:tabs>
        <w:tab w:val="left" w:pos="1440"/>
      </w:tabs>
      <w:ind w:firstLine="720"/>
      <w:outlineLvl w:val="7"/>
    </w:pPr>
    <w:rPr>
      <w:sz w:val="28"/>
      <w:u w:val="single"/>
    </w:rPr>
  </w:style>
  <w:style w:type="paragraph" w:styleId="9">
    <w:name w:val="heading 9"/>
    <w:basedOn w:val="a"/>
    <w:next w:val="a"/>
    <w:qFormat/>
    <w:rsid w:val="00904237"/>
    <w:pPr>
      <w:keepNext/>
      <w:tabs>
        <w:tab w:val="left" w:pos="1584"/>
      </w:tabs>
      <w:ind w:firstLine="720"/>
      <w:jc w:val="both"/>
      <w:outlineLvl w:val="8"/>
    </w:pPr>
    <w:rPr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10"/>
    <w:rsid w:val="00904237"/>
  </w:style>
  <w:style w:type="character" w:customStyle="1" w:styleId="WW8Num2z3">
    <w:name w:val="WW8Num2z3"/>
    <w:rsid w:val="00904237"/>
    <w:rPr>
      <w:rFonts w:ascii="Symbol" w:hAnsi="Symbol"/>
    </w:rPr>
  </w:style>
  <w:style w:type="character" w:customStyle="1" w:styleId="10">
    <w:name w:val="Основной шрифт абзаца1"/>
    <w:rsid w:val="00904237"/>
  </w:style>
  <w:style w:type="character" w:customStyle="1" w:styleId="WW8Num4z3">
    <w:name w:val="WW8Num4z3"/>
    <w:rsid w:val="00904237"/>
    <w:rPr>
      <w:rFonts w:ascii="Symbol" w:hAnsi="Symbol"/>
    </w:rPr>
  </w:style>
  <w:style w:type="character" w:customStyle="1" w:styleId="a4">
    <w:name w:val="Символ нумерации"/>
    <w:rsid w:val="00904237"/>
  </w:style>
  <w:style w:type="character" w:customStyle="1" w:styleId="WW8Num11z1">
    <w:name w:val="WW8Num11z1"/>
    <w:rsid w:val="00904237"/>
    <w:rPr>
      <w:rFonts w:ascii="Courier New" w:hAnsi="Courier New"/>
    </w:rPr>
  </w:style>
  <w:style w:type="character" w:customStyle="1" w:styleId="WW8Num11z2">
    <w:name w:val="WW8Num11z2"/>
    <w:rsid w:val="00904237"/>
    <w:rPr>
      <w:rFonts w:ascii="Wingdings" w:hAnsi="Wingdings"/>
    </w:rPr>
  </w:style>
  <w:style w:type="character" w:customStyle="1" w:styleId="WW8Num6z2">
    <w:name w:val="WW8Num6z2"/>
    <w:rsid w:val="00904237"/>
    <w:rPr>
      <w:rFonts w:ascii="Wingdings" w:hAnsi="Wingdings"/>
    </w:rPr>
  </w:style>
  <w:style w:type="character" w:customStyle="1" w:styleId="WW8Num2z1">
    <w:name w:val="WW8Num2z1"/>
    <w:rsid w:val="00904237"/>
    <w:rPr>
      <w:rFonts w:ascii="Courier New" w:hAnsi="Courier New"/>
    </w:rPr>
  </w:style>
  <w:style w:type="character" w:customStyle="1" w:styleId="WW8Num4z0">
    <w:name w:val="WW8Num4z0"/>
    <w:rsid w:val="00904237"/>
    <w:rPr>
      <w:rFonts w:ascii="Symbol" w:hAnsi="Symbol"/>
      <w:color w:val="auto"/>
      <w:sz w:val="22"/>
      <w:szCs w:val="22"/>
    </w:rPr>
  </w:style>
  <w:style w:type="character" w:customStyle="1" w:styleId="WW8Num11z3">
    <w:name w:val="WW8Num11z3"/>
    <w:rsid w:val="00904237"/>
    <w:rPr>
      <w:rFonts w:ascii="Symbol" w:hAnsi="Symbol"/>
    </w:rPr>
  </w:style>
  <w:style w:type="character" w:customStyle="1" w:styleId="WW8Num2z0">
    <w:name w:val="WW8Num2z0"/>
    <w:rsid w:val="00904237"/>
    <w:rPr>
      <w:rFonts w:ascii="Times New Roman" w:eastAsia="Times New Roman" w:hAnsi="Times New Roman" w:cs="Times New Roman"/>
    </w:rPr>
  </w:style>
  <w:style w:type="character" w:customStyle="1" w:styleId="WW8Num4z1">
    <w:name w:val="WW8Num4z1"/>
    <w:rsid w:val="00904237"/>
    <w:rPr>
      <w:rFonts w:ascii="Courier New" w:hAnsi="Courier New"/>
    </w:rPr>
  </w:style>
  <w:style w:type="character" w:customStyle="1" w:styleId="WW8Num6z1">
    <w:name w:val="WW8Num6z1"/>
    <w:rsid w:val="00904237"/>
    <w:rPr>
      <w:rFonts w:ascii="Courier New" w:hAnsi="Courier New" w:cs="Courier New"/>
    </w:rPr>
  </w:style>
  <w:style w:type="character" w:customStyle="1" w:styleId="WW8Num11z0">
    <w:name w:val="WW8Num11z0"/>
    <w:rsid w:val="00904237"/>
    <w:rPr>
      <w:rFonts w:ascii="Times New Roman" w:eastAsia="Times New Roman" w:hAnsi="Times New Roman" w:cs="Times New Roman"/>
    </w:rPr>
  </w:style>
  <w:style w:type="character" w:customStyle="1" w:styleId="WW8Num6z3">
    <w:name w:val="WW8Num6z3"/>
    <w:rsid w:val="00904237"/>
    <w:rPr>
      <w:rFonts w:ascii="Symbol" w:hAnsi="Symbol"/>
    </w:rPr>
  </w:style>
  <w:style w:type="character" w:customStyle="1" w:styleId="WW8Num6z0">
    <w:name w:val="WW8Num6z0"/>
    <w:rsid w:val="00904237"/>
    <w:rPr>
      <w:rFonts w:ascii="Symbol" w:hAnsi="Symbol"/>
      <w:b/>
      <w:i w:val="0"/>
      <w:sz w:val="28"/>
      <w:szCs w:val="28"/>
    </w:rPr>
  </w:style>
  <w:style w:type="character" w:customStyle="1" w:styleId="WW8Num4z2">
    <w:name w:val="WW8Num4z2"/>
    <w:rsid w:val="00904237"/>
    <w:rPr>
      <w:rFonts w:ascii="Wingdings" w:hAnsi="Wingdings"/>
    </w:rPr>
  </w:style>
  <w:style w:type="character" w:customStyle="1" w:styleId="WW8Num2z2">
    <w:name w:val="WW8Num2z2"/>
    <w:rsid w:val="00904237"/>
    <w:rPr>
      <w:rFonts w:ascii="Wingdings" w:hAnsi="Wingdings"/>
    </w:rPr>
  </w:style>
  <w:style w:type="paragraph" w:styleId="a5">
    <w:name w:val="footer"/>
    <w:basedOn w:val="a"/>
    <w:rsid w:val="00904237"/>
    <w:pPr>
      <w:tabs>
        <w:tab w:val="center" w:pos="4677"/>
        <w:tab w:val="right" w:pos="9355"/>
      </w:tabs>
    </w:pPr>
  </w:style>
  <w:style w:type="paragraph" w:styleId="a6">
    <w:name w:val="Body Text Indent"/>
    <w:basedOn w:val="a"/>
    <w:rsid w:val="00904237"/>
    <w:pPr>
      <w:ind w:firstLine="720"/>
      <w:jc w:val="both"/>
    </w:pPr>
    <w:rPr>
      <w:sz w:val="28"/>
    </w:rPr>
  </w:style>
  <w:style w:type="paragraph" w:styleId="a7">
    <w:name w:val="Body Text"/>
    <w:basedOn w:val="a"/>
    <w:rsid w:val="00904237"/>
    <w:pPr>
      <w:jc w:val="center"/>
    </w:pPr>
    <w:rPr>
      <w:sz w:val="24"/>
    </w:rPr>
  </w:style>
  <w:style w:type="paragraph" w:styleId="a8">
    <w:name w:val="Title"/>
    <w:basedOn w:val="a"/>
    <w:next w:val="a9"/>
    <w:qFormat/>
    <w:rsid w:val="00904237"/>
    <w:pPr>
      <w:jc w:val="center"/>
    </w:pPr>
    <w:rPr>
      <w:b/>
      <w:sz w:val="28"/>
    </w:rPr>
  </w:style>
  <w:style w:type="paragraph" w:styleId="a9">
    <w:name w:val="Subtitle"/>
    <w:basedOn w:val="a"/>
    <w:next w:val="a7"/>
    <w:qFormat/>
    <w:rsid w:val="00904237"/>
    <w:pPr>
      <w:jc w:val="right"/>
    </w:pPr>
    <w:rPr>
      <w:sz w:val="28"/>
    </w:rPr>
  </w:style>
  <w:style w:type="paragraph" w:styleId="aa">
    <w:name w:val="List"/>
    <w:basedOn w:val="a7"/>
    <w:rsid w:val="00904237"/>
    <w:rPr>
      <w:rFonts w:ascii="Arial" w:hAnsi="Arial" w:cs="Tahoma"/>
    </w:rPr>
  </w:style>
  <w:style w:type="paragraph" w:styleId="ab">
    <w:name w:val="header"/>
    <w:basedOn w:val="a"/>
    <w:rsid w:val="00904237"/>
    <w:pPr>
      <w:tabs>
        <w:tab w:val="center" w:pos="4677"/>
        <w:tab w:val="right" w:pos="9355"/>
      </w:tabs>
    </w:pPr>
    <w:rPr>
      <w:sz w:val="28"/>
    </w:rPr>
  </w:style>
  <w:style w:type="paragraph" w:customStyle="1" w:styleId="BodyTextIndent21">
    <w:name w:val="Body Text Indent 21"/>
    <w:basedOn w:val="a"/>
    <w:rsid w:val="00904237"/>
    <w:pPr>
      <w:widowControl w:val="0"/>
      <w:spacing w:before="320"/>
      <w:ind w:right="200" w:firstLine="851"/>
      <w:jc w:val="both"/>
    </w:pPr>
    <w:rPr>
      <w:sz w:val="28"/>
    </w:rPr>
  </w:style>
  <w:style w:type="paragraph" w:customStyle="1" w:styleId="11">
    <w:name w:val="Название1"/>
    <w:basedOn w:val="a"/>
    <w:rsid w:val="00904237"/>
    <w:pPr>
      <w:suppressLineNumbers/>
      <w:spacing w:before="120" w:after="120"/>
    </w:pPr>
    <w:rPr>
      <w:rFonts w:ascii="Arial" w:hAnsi="Arial" w:cs="Tahoma"/>
      <w:i/>
      <w:iCs/>
      <w:szCs w:val="24"/>
    </w:rPr>
  </w:style>
  <w:style w:type="paragraph" w:customStyle="1" w:styleId="ac">
    <w:name w:val="Содержимое врезки"/>
    <w:basedOn w:val="a7"/>
    <w:rsid w:val="00904237"/>
  </w:style>
  <w:style w:type="paragraph" w:customStyle="1" w:styleId="ad">
    <w:name w:val="Содержимое таблицы"/>
    <w:basedOn w:val="a"/>
    <w:rsid w:val="00904237"/>
    <w:pPr>
      <w:suppressLineNumbers/>
    </w:pPr>
  </w:style>
  <w:style w:type="paragraph" w:customStyle="1" w:styleId="21">
    <w:name w:val="Основной текст с отступом 21"/>
    <w:basedOn w:val="a"/>
    <w:rsid w:val="00904237"/>
    <w:pPr>
      <w:tabs>
        <w:tab w:val="left" w:pos="284"/>
      </w:tabs>
      <w:spacing w:before="120"/>
      <w:ind w:firstLine="720"/>
    </w:pPr>
    <w:rPr>
      <w:sz w:val="28"/>
    </w:rPr>
  </w:style>
  <w:style w:type="paragraph" w:customStyle="1" w:styleId="ae">
    <w:name w:val="Заголовок"/>
    <w:basedOn w:val="a"/>
    <w:next w:val="a7"/>
    <w:rsid w:val="00904237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210">
    <w:name w:val="Основной текст 21"/>
    <w:basedOn w:val="a"/>
    <w:rsid w:val="00904237"/>
    <w:pPr>
      <w:jc w:val="both"/>
    </w:pPr>
    <w:rPr>
      <w:sz w:val="28"/>
    </w:rPr>
  </w:style>
  <w:style w:type="paragraph" w:customStyle="1" w:styleId="FR2">
    <w:name w:val="FR2"/>
    <w:rsid w:val="00904237"/>
    <w:pPr>
      <w:widowControl w:val="0"/>
      <w:suppressAutoHyphens/>
      <w:spacing w:before="60"/>
      <w:jc w:val="right"/>
    </w:pPr>
    <w:rPr>
      <w:rFonts w:ascii="Arial" w:eastAsia="Arial" w:hAnsi="Arial"/>
      <w:i/>
      <w:sz w:val="16"/>
      <w:lang w:eastAsia="ar-SA"/>
    </w:rPr>
  </w:style>
  <w:style w:type="paragraph" w:customStyle="1" w:styleId="BodyText21">
    <w:name w:val="Body Text 21"/>
    <w:basedOn w:val="a"/>
    <w:rsid w:val="00904237"/>
    <w:rPr>
      <w:sz w:val="28"/>
    </w:rPr>
  </w:style>
  <w:style w:type="paragraph" w:customStyle="1" w:styleId="12">
    <w:name w:val="Схема документа1"/>
    <w:basedOn w:val="a"/>
    <w:rsid w:val="00904237"/>
    <w:pPr>
      <w:shd w:val="clear" w:color="auto" w:fill="000080"/>
    </w:pPr>
    <w:rPr>
      <w:rFonts w:ascii="Tahoma" w:hAnsi="Tahoma"/>
    </w:rPr>
  </w:style>
  <w:style w:type="paragraph" w:customStyle="1" w:styleId="31">
    <w:name w:val="Основной текст с отступом 31"/>
    <w:basedOn w:val="a"/>
    <w:rsid w:val="00904237"/>
    <w:pPr>
      <w:ind w:firstLine="709"/>
      <w:jc w:val="center"/>
    </w:pPr>
    <w:rPr>
      <w:b/>
      <w:bCs/>
      <w:i/>
      <w:sz w:val="28"/>
      <w:szCs w:val="24"/>
    </w:rPr>
  </w:style>
  <w:style w:type="paragraph" w:customStyle="1" w:styleId="13">
    <w:name w:val="Название объекта1"/>
    <w:basedOn w:val="a"/>
    <w:next w:val="a"/>
    <w:rsid w:val="00904237"/>
    <w:pPr>
      <w:ind w:firstLine="426"/>
    </w:pPr>
    <w:rPr>
      <w:sz w:val="28"/>
      <w:u w:val="single"/>
    </w:rPr>
  </w:style>
  <w:style w:type="paragraph" w:customStyle="1" w:styleId="14">
    <w:name w:val="Указатель1"/>
    <w:basedOn w:val="a"/>
    <w:rsid w:val="00904237"/>
    <w:pPr>
      <w:suppressLineNumbers/>
    </w:pPr>
    <w:rPr>
      <w:rFonts w:ascii="Arial" w:hAnsi="Arial" w:cs="Tahoma"/>
    </w:rPr>
  </w:style>
  <w:style w:type="paragraph" w:customStyle="1" w:styleId="BodyText211">
    <w:name w:val="Body Text 211"/>
    <w:basedOn w:val="a"/>
    <w:rsid w:val="00904237"/>
    <w:pPr>
      <w:widowControl w:val="0"/>
      <w:ind w:firstLine="851"/>
      <w:jc w:val="both"/>
    </w:pPr>
    <w:rPr>
      <w:sz w:val="28"/>
    </w:rPr>
  </w:style>
  <w:style w:type="paragraph" w:customStyle="1" w:styleId="310">
    <w:name w:val="Основной текст 31"/>
    <w:basedOn w:val="a"/>
    <w:rsid w:val="00904237"/>
    <w:pPr>
      <w:jc w:val="center"/>
    </w:pPr>
    <w:rPr>
      <w:sz w:val="28"/>
    </w:rPr>
  </w:style>
  <w:style w:type="paragraph" w:customStyle="1" w:styleId="af">
    <w:name w:val="Заголовок таблицы"/>
    <w:basedOn w:val="ad"/>
    <w:rsid w:val="00904237"/>
    <w:pPr>
      <w:jc w:val="center"/>
    </w:pPr>
    <w:rPr>
      <w:b/>
      <w:bCs/>
    </w:rPr>
  </w:style>
  <w:style w:type="paragraph" w:styleId="af0">
    <w:name w:val="Balloon Text"/>
    <w:basedOn w:val="a"/>
    <w:link w:val="af1"/>
    <w:rsid w:val="002A4F1E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rsid w:val="002A4F1E"/>
    <w:rPr>
      <w:rFonts w:ascii="Tahoma" w:hAnsi="Tahoma" w:cs="Tahoma"/>
      <w:sz w:val="16"/>
      <w:szCs w:val="16"/>
      <w:lang w:eastAsia="ar-SA"/>
    </w:rPr>
  </w:style>
  <w:style w:type="paragraph" w:styleId="af2">
    <w:name w:val="List Paragraph"/>
    <w:basedOn w:val="a"/>
    <w:uiPriority w:val="99"/>
    <w:qFormat/>
    <w:rsid w:val="0073763C"/>
    <w:pPr>
      <w:ind w:left="720"/>
      <w:contextualSpacing/>
    </w:pPr>
  </w:style>
  <w:style w:type="character" w:customStyle="1" w:styleId="mwe-math-mathml-inline">
    <w:name w:val="mwe-math-mathml-inline"/>
    <w:basedOn w:val="a0"/>
    <w:rsid w:val="00C06467"/>
  </w:style>
  <w:style w:type="character" w:styleId="af3">
    <w:name w:val="Hyperlink"/>
    <w:basedOn w:val="a0"/>
    <w:uiPriority w:val="99"/>
    <w:unhideWhenUsed/>
    <w:rsid w:val="00C0646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00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jpeg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8.png"/><Relationship Id="rId46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6.png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image" Target="media/image15.png"/><Relationship Id="rId43" Type="http://schemas.openxmlformats.org/officeDocument/2006/relationships/footer" Target="footer1.xm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EA1518-F664-41FE-A0EE-E7490A567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6</Pages>
  <Words>1218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2</vt:lpstr>
    </vt:vector>
  </TitlesOfParts>
  <Company>BMSTU</Company>
  <LinksUpToDate>false</LinksUpToDate>
  <CharactersWithSpaces>8151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ДЕНИСОВ ВА</dc:creator>
  <cp:lastModifiedBy>Vad</cp:lastModifiedBy>
  <cp:revision>13</cp:revision>
  <cp:lastPrinted>2012-04-03T14:17:00Z</cp:lastPrinted>
  <dcterms:created xsi:type="dcterms:W3CDTF">2019-05-22T13:20:00Z</dcterms:created>
  <dcterms:modified xsi:type="dcterms:W3CDTF">2020-02-10T13:56:00Z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1033-10.2.0.7646</vt:lpwstr>
  </property>
</Properties>
</file>