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Requisitos de Governança para o Software de Gestão de Manutenção</w:t>
      </w:r>
    </w:p>
    <w:p>
      <w:pPr>
        <w:jc w:val="center"/>
      </w:pPr>
      <w:r>
        <w:rPr>
          <w:i/>
          <w:sz w:val="22"/>
        </w:rPr>
        <w:t>Diretriz funcional para o módulo executivo de Governança e Performance</w:t>
      </w:r>
    </w:p>
    <w:p/>
    <w:p>
      <w:r>
        <w:t>Este documento complementa o software já em desenvolvimento. A intenção não é duplicar os indicadores operacionais existentes, mas criar uma camada de Governança que consolide esses dados e os transforme em informação executiva, financeira, contratual e de risco.</w:t>
      </w:r>
    </w:p>
    <w:p>
      <w:pPr>
        <w:pStyle w:val="Heading1"/>
      </w:pPr>
      <w:r>
        <w:t>1. Princípio do módulo</w:t>
      </w:r>
    </w:p>
    <w:p>
      <w:r>
        <w:rPr>
          <w:b/>
        </w:rPr>
        <w:t>O módulo de Governança deve responder, de forma simples: O que aconteceu? Onde? Quando? Quanto impactou? Por que aconteceu? Quem é responsável? Qual o risco? Quanto custou? O que será feito? Até quando?</w:t>
      </w:r>
    </w:p>
    <w:p>
      <w:pPr>
        <w:pStyle w:val="Heading1"/>
      </w:pPr>
      <w:r>
        <w:t>2. Objetivo</w:t>
      </w:r>
    </w:p>
    <w:p>
      <w:pPr>
        <w:pStyle w:val="ListBullet"/>
      </w:pPr>
      <w:r>
        <w:t>Dar ao gestor uma visão consolidada da saúde da operação.</w:t>
      </w:r>
    </w:p>
    <w:p>
      <w:pPr>
        <w:pStyle w:val="ListBullet"/>
      </w:pPr>
      <w:r>
        <w:t>Transformar OS, manutenção, disponibilidade, custos e contratos em indicadores executivos.</w:t>
      </w:r>
    </w:p>
    <w:p>
      <w:pPr>
        <w:pStyle w:val="ListBullet"/>
      </w:pPr>
      <w:r>
        <w:t>Permitir comparação entre equipamentos, linhas, plantas, clientes, fornecedores e períodos.</w:t>
      </w:r>
    </w:p>
    <w:p>
      <w:pPr>
        <w:pStyle w:val="ListBullet"/>
      </w:pPr>
      <w:r>
        <w:t>Criar rastreabilidade entre indicador, evento operacional, causa e plano de ação.</w:t>
      </w:r>
    </w:p>
    <w:p>
      <w:pPr>
        <w:pStyle w:val="ListBullet"/>
      </w:pPr>
      <w:r>
        <w:t>Apoiar reuniões de governança e relatórios mensais/anuais sem depender de consolidação manual.</w:t>
      </w:r>
    </w:p>
    <w:p>
      <w:pPr>
        <w:pStyle w:val="Heading1"/>
      </w:pPr>
      <w:r>
        <w:t>3. Camada executiva do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7632"/>
            <w:shd w:fill="D9EAF7"/>
            <w:vAlign w:val="center"/>
          </w:tcPr>
          <w:p>
            <w:r>
              <w:rPr>
                <w:b/>
              </w:rPr>
              <w:t>Visão de Governança</w:t>
            </w:r>
          </w:p>
        </w:tc>
      </w:tr>
      <w:tr>
        <w:tc>
          <w:tcPr>
            <w:tcW w:type="dxa" w:w="2448"/>
            <w:vAlign w:val="top"/>
          </w:tcPr>
          <w:p>
            <w:r>
              <w:t>Disponibilidade</w:t>
            </w:r>
          </w:p>
        </w:tc>
        <w:tc>
          <w:tcPr>
            <w:tcW w:type="dxa" w:w="7632"/>
            <w:vAlign w:val="top"/>
          </w:tcPr>
          <w:p>
            <w:r>
              <w:t>Disponibilidade por equipamento, linha, planta e período; horas produtivas x horas indisponíveis.</w:t>
            </w:r>
          </w:p>
        </w:tc>
      </w:tr>
      <w:tr>
        <w:tc>
          <w:tcPr>
            <w:tcW w:type="dxa" w:w="2448"/>
            <w:vAlign w:val="top"/>
          </w:tcPr>
          <w:p>
            <w:r>
              <w:t>SLA</w:t>
            </w:r>
          </w:p>
        </w:tc>
        <w:tc>
          <w:tcPr>
            <w:tcW w:type="dxa" w:w="7632"/>
            <w:vAlign w:val="top"/>
          </w:tcPr>
          <w:p>
            <w:r>
              <w:t>Cumprimento de atendimento, resposta, reparo e disponibilidade; violações e tendência.</w:t>
            </w:r>
          </w:p>
        </w:tc>
      </w:tr>
      <w:tr>
        <w:tc>
          <w:tcPr>
            <w:tcW w:type="dxa" w:w="2448"/>
            <w:vAlign w:val="top"/>
          </w:tcPr>
          <w:p>
            <w:r>
              <w:t>Confiabilidade</w:t>
            </w:r>
          </w:p>
        </w:tc>
        <w:tc>
          <w:tcPr>
            <w:tcW w:type="dxa" w:w="7632"/>
            <w:vAlign w:val="top"/>
          </w:tcPr>
          <w:p>
            <w:r>
              <w:t>MTBF, recorrência de falhas e equipamentos com maior frequência de incidentes.</w:t>
            </w:r>
          </w:p>
        </w:tc>
      </w:tr>
      <w:tr>
        <w:tc>
          <w:tcPr>
            <w:tcW w:type="dxa" w:w="2448"/>
            <w:vAlign w:val="top"/>
          </w:tcPr>
          <w:p>
            <w:r>
              <w:t>Manutenibilidade</w:t>
            </w:r>
          </w:p>
        </w:tc>
        <w:tc>
          <w:tcPr>
            <w:tcW w:type="dxa" w:w="7632"/>
            <w:vAlign w:val="top"/>
          </w:tcPr>
          <w:p>
            <w:r>
              <w:t>MTTR, tempo aguardando peça, fornecedor, aprovação ou técnico.</w:t>
            </w:r>
          </w:p>
        </w:tc>
      </w:tr>
      <w:tr>
        <w:tc>
          <w:tcPr>
            <w:tcW w:type="dxa" w:w="2448"/>
            <w:vAlign w:val="top"/>
          </w:tcPr>
          <w:p>
            <w:r>
              <w:t>Custos</w:t>
            </w:r>
          </w:p>
        </w:tc>
        <w:tc>
          <w:tcPr>
            <w:tcW w:type="dxa" w:w="7632"/>
            <w:vAlign w:val="top"/>
          </w:tcPr>
          <w:p>
            <w:r>
              <w:t>Custo de manutenção, peças, mão de obra, terceiros, aluguel e custo total do equipamento.</w:t>
            </w:r>
          </w:p>
        </w:tc>
      </w:tr>
      <w:tr>
        <w:tc>
          <w:tcPr>
            <w:tcW w:type="dxa" w:w="2448"/>
            <w:vAlign w:val="top"/>
          </w:tcPr>
          <w:p>
            <w:r>
              <w:t>Impacto da parada</w:t>
            </w:r>
          </w:p>
        </w:tc>
        <w:tc>
          <w:tcPr>
            <w:tcW w:type="dxa" w:w="7632"/>
            <w:vAlign w:val="top"/>
          </w:tcPr>
          <w:p>
            <w:r>
              <w:t>Tempo parado e, quando houver parâmetros financeiros, estimativa de impacto da indisponibilidade.</w:t>
            </w:r>
          </w:p>
        </w:tc>
      </w:tr>
      <w:tr>
        <w:tc>
          <w:tcPr>
            <w:tcW w:type="dxa" w:w="2448"/>
            <w:vAlign w:val="top"/>
          </w:tcPr>
          <w:p>
            <w:r>
              <w:t>Risco</w:t>
            </w:r>
          </w:p>
        </w:tc>
        <w:tc>
          <w:tcPr>
            <w:tcW w:type="dxa" w:w="7632"/>
            <w:vAlign w:val="top"/>
          </w:tcPr>
          <w:p>
            <w:r>
              <w:t>Equipamentos críticos, falhas recorrentes, obsolescência, ausência de preventiva e riscos sem mitigação.</w:t>
            </w:r>
          </w:p>
        </w:tc>
      </w:tr>
      <w:tr>
        <w:tc>
          <w:tcPr>
            <w:tcW w:type="dxa" w:w="2448"/>
            <w:vAlign w:val="top"/>
          </w:tcPr>
          <w:p>
            <w:r>
              <w:t>Fornecedores</w:t>
            </w:r>
          </w:p>
        </w:tc>
        <w:tc>
          <w:tcPr>
            <w:tcW w:type="dxa" w:w="7632"/>
            <w:vAlign w:val="top"/>
          </w:tcPr>
          <w:p>
            <w:r>
              <w:t>Performance, SLA, tempo de atendimento, reincidência, custo e pendências.</w:t>
            </w:r>
          </w:p>
        </w:tc>
      </w:tr>
      <w:tr>
        <w:tc>
          <w:tcPr>
            <w:tcW w:type="dxa" w:w="2448"/>
            <w:vAlign w:val="top"/>
          </w:tcPr>
          <w:p>
            <w:r>
              <w:t>Planos de ação</w:t>
            </w:r>
          </w:p>
        </w:tc>
        <w:tc>
          <w:tcPr>
            <w:tcW w:type="dxa" w:w="7632"/>
            <w:vAlign w:val="top"/>
          </w:tcPr>
          <w:p>
            <w:r>
              <w:t>Ações abertas, vencidas, responsáveis, prioridade, origem e benefício esperado.</w:t>
            </w:r>
          </w:p>
        </w:tc>
      </w:tr>
    </w:tbl>
    <w:p/>
    <w:p>
      <w:pPr>
        <w:pStyle w:val="Heading1"/>
      </w:pPr>
      <w:r>
        <w:t>4. Drill-down obrigatório</w:t>
      </w:r>
    </w:p>
    <w:p>
      <w:r>
        <w:t>Todo KPI executivo deve permitir sair do número consolidado e chegar à evidência que o originou. Exemplo: disponibilidade caiu → equipamento responsável → OS relacionadas → causa → tempos → peças → fornecedor → custo → fotos/documentos → plano de ação.</w:t>
      </w:r>
    </w:p>
    <w:p>
      <w:pPr>
        <w:pStyle w:val="Heading1"/>
      </w:pPr>
      <w:r>
        <w:t>5. Governança de equipamentos próprios e alugados</w:t>
      </w:r>
    </w:p>
    <w:p>
      <w:pPr>
        <w:pStyle w:val="ListBullet"/>
      </w:pPr>
      <w:r>
        <w:t>Classificação: próprio, alugado/locado, comodato ou outra modalidade configurável.</w:t>
      </w:r>
    </w:p>
    <w:p>
      <w:pPr>
        <w:pStyle w:val="ListBullet"/>
      </w:pPr>
      <w:r>
        <w:t>Fornecedor/proprietário do equipamento e contrato relacionado.</w:t>
      </w:r>
    </w:p>
    <w:p>
      <w:pPr>
        <w:pStyle w:val="ListBullet"/>
      </w:pPr>
      <w:r>
        <w:t>Valor mensal de aluguel e demais custos recorrentes.</w:t>
      </w:r>
    </w:p>
    <w:p>
      <w:pPr>
        <w:pStyle w:val="ListBullet"/>
      </w:pPr>
      <w:r>
        <w:t>Início/fim do contrato, reajuste, renovação e SLA contratual.</w:t>
      </w:r>
    </w:p>
    <w:p>
      <w:pPr>
        <w:pStyle w:val="ListBullet"/>
      </w:pPr>
      <w:r>
        <w:t>Custo acumulado do aluguel no período.</w:t>
      </w:r>
    </w:p>
    <w:p>
      <w:pPr>
        <w:pStyle w:val="ListBullet"/>
      </w:pPr>
      <w:r>
        <w:t>Horas/dias de indisponibilidade durante o período pago.</w:t>
      </w:r>
    </w:p>
    <w:p>
      <w:pPr>
        <w:pStyle w:val="ListBullet"/>
      </w:pPr>
      <w:r>
        <w:t>Indicador financeiro de locação durante indisponibilidade: parcela do custo recorrente associada ao tempo parado.</w:t>
      </w:r>
    </w:p>
    <w:p>
      <w:pPr>
        <w:pStyle w:val="ListBullet"/>
      </w:pPr>
      <w:r>
        <w:t>Comparativo custo total de propriedade/operação versus locação, quando houver dados suficientes.</w:t>
      </w:r>
    </w:p>
    <w:p>
      <w:pPr>
        <w:pStyle w:val="ListBullet"/>
      </w:pPr>
      <w:r>
        <w:t>Relatório anual por equipamento: quanto produziu/esteve disponível, quanto ficou parado, quanto custou e quais foram as principais causas.</w:t>
      </w:r>
    </w:p>
    <w:p>
      <w:pPr>
        <w:pStyle w:val="Heading1"/>
      </w:pPr>
      <w:r>
        <w:t>6. Scorecard de fornecedor</w:t>
      </w:r>
    </w:p>
    <w:p>
      <w:pPr>
        <w:pStyle w:val="ListBullet"/>
      </w:pPr>
      <w:r>
        <w:t>SLA contratado x realizado.</w:t>
      </w:r>
    </w:p>
    <w:p>
      <w:pPr>
        <w:pStyle w:val="ListBullet"/>
      </w:pPr>
      <w:r>
        <w:t>Tempo médio de resposta e solução.</w:t>
      </w:r>
    </w:p>
    <w:p>
      <w:pPr>
        <w:pStyle w:val="ListBullet"/>
      </w:pPr>
      <w:r>
        <w:t>Quantidade e severidade de violações.</w:t>
      </w:r>
    </w:p>
    <w:p>
      <w:pPr>
        <w:pStyle w:val="ListBullet"/>
      </w:pPr>
      <w:r>
        <w:t>Falhas reincidentes após atendimento.</w:t>
      </w:r>
    </w:p>
    <w:p>
      <w:pPr>
        <w:pStyle w:val="ListBullet"/>
      </w:pPr>
      <w:r>
        <w:t>Pendências e planos de ação vencidos.</w:t>
      </w:r>
    </w:p>
    <w:p>
      <w:pPr>
        <w:pStyle w:val="ListBullet"/>
      </w:pPr>
      <w:r>
        <w:t>Custos associados.</w:t>
      </w:r>
    </w:p>
    <w:p>
      <w:pPr>
        <w:pStyle w:val="ListBullet"/>
      </w:pPr>
      <w:r>
        <w:t>Ranking/score configurável por fornecedor.</w:t>
      </w:r>
    </w:p>
    <w:p>
      <w:pPr>
        <w:pStyle w:val="Heading1"/>
      </w:pPr>
      <w:r>
        <w:t>7. Gestão de planos de ação / melhoria contínua</w:t>
      </w:r>
    </w:p>
    <w:p>
      <w:pPr>
        <w:pStyle w:val="ListBullet"/>
      </w:pPr>
      <w:r>
        <w:t>Origem da ação: SLA, incidente, auditoria, preventiva, análise de causa, risco ou decisão de reunião.</w:t>
      </w:r>
    </w:p>
    <w:p>
      <w:pPr>
        <w:pStyle w:val="ListBullet"/>
      </w:pPr>
      <w:r>
        <w:t>Descrição, prioridade, responsável, prazo e status.</w:t>
      </w:r>
    </w:p>
    <w:p>
      <w:pPr>
        <w:pStyle w:val="ListBullet"/>
      </w:pPr>
      <w:r>
        <w:t>Causa-raiz associada.</w:t>
      </w:r>
    </w:p>
    <w:p>
      <w:pPr>
        <w:pStyle w:val="ListBullet"/>
      </w:pPr>
      <w:r>
        <w:t>Benefício esperado: disponibilidade, redução de custo, segurança, qualidade ou produtividade.</w:t>
      </w:r>
    </w:p>
    <w:p>
      <w:pPr>
        <w:pStyle w:val="ListBullet"/>
      </w:pPr>
      <w:r>
        <w:t>Evidência de conclusão.</w:t>
      </w:r>
    </w:p>
    <w:p>
      <w:pPr>
        <w:pStyle w:val="ListBullet"/>
      </w:pPr>
      <w:r>
        <w:t>Validação de eficácia após encerramento.</w:t>
      </w:r>
    </w:p>
    <w:p>
      <w:pPr>
        <w:pStyle w:val="ListBullet"/>
      </w:pPr>
      <w:r>
        <w:t>Indicador de ações vencidas e reincidência após ação concluída.</w:t>
      </w:r>
    </w:p>
    <w:p>
      <w:pPr>
        <w:pStyle w:val="Heading1"/>
      </w:pPr>
      <w:r>
        <w:t>8. Relatório executivo de Governança</w:t>
      </w:r>
    </w:p>
    <w:p>
      <w:r>
        <w:t>Gerar automaticamente um pacote mensal e anual contendo:</w:t>
      </w:r>
    </w:p>
    <w:p>
      <w:pPr>
        <w:pStyle w:val="ListBullet"/>
      </w:pPr>
      <w:r>
        <w:t>Resumo executivo com semáforo dos principais KPIs.</w:t>
      </w:r>
    </w:p>
    <w:p>
      <w:pPr>
        <w:pStyle w:val="ListBullet"/>
      </w:pPr>
      <w:r>
        <w:t>Disponibilidade e SLA.</w:t>
      </w:r>
    </w:p>
    <w:p>
      <w:pPr>
        <w:pStyle w:val="ListBullet"/>
      </w:pPr>
      <w:r>
        <w:t>Top equipamentos/linhas com maior indisponibilidade.</w:t>
      </w:r>
    </w:p>
    <w:p>
      <w:pPr>
        <w:pStyle w:val="ListBullet"/>
      </w:pPr>
      <w:r>
        <w:t>Top causas de falha e reincidências.</w:t>
      </w:r>
    </w:p>
    <w:p>
      <w:pPr>
        <w:pStyle w:val="ListBullet"/>
      </w:pPr>
      <w:r>
        <w:t>MTBF e MTTR com tendência.</w:t>
      </w:r>
    </w:p>
    <w:p>
      <w:pPr>
        <w:pStyle w:val="ListBullet"/>
      </w:pPr>
      <w:r>
        <w:t>Custos por equipamento, linha, planta, categoria e fornecedor.</w:t>
      </w:r>
    </w:p>
    <w:p>
      <w:pPr>
        <w:pStyle w:val="ListBullet"/>
      </w:pPr>
      <w:r>
        <w:t>Equipamentos alugados: custo de locação, indisponibilidade e impacto financeiro.</w:t>
      </w:r>
    </w:p>
    <w:p>
      <w:pPr>
        <w:pStyle w:val="ListBullet"/>
      </w:pPr>
      <w:r>
        <w:t>Performance de fornecedores.</w:t>
      </w:r>
    </w:p>
    <w:p>
      <w:pPr>
        <w:pStyle w:val="ListBullet"/>
      </w:pPr>
      <w:r>
        <w:t>Riscos relevantes.</w:t>
      </w:r>
    </w:p>
    <w:p>
      <w:pPr>
        <w:pStyle w:val="ListBullet"/>
      </w:pPr>
      <w:r>
        <w:t>Planos de ação, atrasos e decisões pendentes.</w:t>
      </w:r>
    </w:p>
    <w:p>
      <w:pPr>
        <w:pStyle w:val="ListBullet"/>
      </w:pPr>
      <w:r>
        <w:t>Comparativo com mês anterior, acumulado do ano e metas.</w:t>
      </w:r>
    </w:p>
    <w:p>
      <w:pPr>
        <w:pStyle w:val="Heading1"/>
      </w:pPr>
      <w:r>
        <w:t>9. Reunião de Governança dentro do sistema</w:t>
      </w:r>
    </w:p>
    <w:p>
      <w:pPr>
        <w:pStyle w:val="ListBullet"/>
      </w:pPr>
      <w:r>
        <w:t>Criar uma reunião/período de governança e congelar os indicadores daquele fechamento.</w:t>
      </w:r>
    </w:p>
    <w:p>
      <w:pPr>
        <w:pStyle w:val="ListBullet"/>
      </w:pPr>
      <w:r>
        <w:t>Selecionar automaticamente os principais desvios e riscos.</w:t>
      </w:r>
    </w:p>
    <w:p>
      <w:pPr>
        <w:pStyle w:val="ListBullet"/>
      </w:pPr>
      <w:r>
        <w:t>Registrar comentários executivos e decisões.</w:t>
      </w:r>
    </w:p>
    <w:p>
      <w:pPr>
        <w:pStyle w:val="ListBullet"/>
      </w:pPr>
      <w:r>
        <w:t>Criar planos de ação diretamente a partir de um KPI, SLA violado, risco ou equipamento.</w:t>
      </w:r>
    </w:p>
    <w:p>
      <w:pPr>
        <w:pStyle w:val="ListBullet"/>
      </w:pPr>
      <w:r>
        <w:t>Registrar responsáveis e prazos.</w:t>
      </w:r>
    </w:p>
    <w:p>
      <w:pPr>
        <w:pStyle w:val="ListBullet"/>
      </w:pPr>
      <w:r>
        <w:t>No encontro seguinte, recuperar automaticamente as ações anteriores e seu status.</w:t>
      </w:r>
    </w:p>
    <w:p>
      <w:pPr>
        <w:pStyle w:val="Heading1"/>
      </w:pPr>
      <w:r>
        <w:t>10. Alertas executivos</w:t>
      </w:r>
    </w:p>
    <w:p>
      <w:pPr>
        <w:pStyle w:val="ListBullet"/>
      </w:pPr>
      <w:r>
        <w:t>SLA em risco antes da violação.</w:t>
      </w:r>
    </w:p>
    <w:p>
      <w:pPr>
        <w:pStyle w:val="ListBullet"/>
      </w:pPr>
      <w:r>
        <w:t>Equipamento crítico com recorrência acima do limite.</w:t>
      </w:r>
    </w:p>
    <w:p>
      <w:pPr>
        <w:pStyle w:val="ListBullet"/>
      </w:pPr>
      <w:r>
        <w:t>Preventiva vencida em equipamento crítico.</w:t>
      </w:r>
    </w:p>
    <w:p>
      <w:pPr>
        <w:pStyle w:val="ListBullet"/>
      </w:pPr>
      <w:r>
        <w:t>Custo mensal acima da meta/orçamento.</w:t>
      </w:r>
    </w:p>
    <w:p>
      <w:pPr>
        <w:pStyle w:val="ListBullet"/>
      </w:pPr>
      <w:r>
        <w:t>Fornecedor abaixo do score mínimo.</w:t>
      </w:r>
    </w:p>
    <w:p>
      <w:pPr>
        <w:pStyle w:val="ListBullet"/>
      </w:pPr>
      <w:r>
        <w:t>Plano de ação vencido.</w:t>
      </w:r>
    </w:p>
    <w:p>
      <w:pPr>
        <w:pStyle w:val="ListBullet"/>
      </w:pPr>
      <w:r>
        <w:t>Contrato de locação/manutenção próximo do vencimento.</w:t>
      </w:r>
    </w:p>
    <w:p>
      <w:pPr>
        <w:pStyle w:val="ListBullet"/>
      </w:pPr>
      <w:r>
        <w:t>Tendência de degradação de disponibilidade ou aumento de MTTR.</w:t>
      </w:r>
    </w:p>
    <w:p>
      <w:pPr>
        <w:pStyle w:val="Heading1"/>
      </w:pPr>
      <w:r>
        <w:t>11. Filtros e comparações</w:t>
      </w:r>
    </w:p>
    <w:p>
      <w:pPr>
        <w:pStyle w:val="ListBullet"/>
      </w:pPr>
      <w:r>
        <w:t>Cliente, unidade/planta, área, linha, equipamento, tipo de equipamento e criticidade.</w:t>
      </w:r>
    </w:p>
    <w:p>
      <w:pPr>
        <w:pStyle w:val="ListBullet"/>
      </w:pPr>
      <w:r>
        <w:t>Próprio x alugado.</w:t>
      </w:r>
    </w:p>
    <w:p>
      <w:pPr>
        <w:pStyle w:val="ListBullet"/>
      </w:pPr>
      <w:r>
        <w:t>Fornecedor e contrato.</w:t>
      </w:r>
    </w:p>
    <w:p>
      <w:pPr>
        <w:pStyle w:val="ListBullet"/>
      </w:pPr>
      <w:r>
        <w:t>Tipo de manutenção e causa.</w:t>
      </w:r>
    </w:p>
    <w:p>
      <w:pPr>
        <w:pStyle w:val="ListBullet"/>
      </w:pPr>
      <w:r>
        <w:t>Período, mês, trimestre e ano.</w:t>
      </w:r>
    </w:p>
    <w:p>
      <w:pPr>
        <w:pStyle w:val="ListBullet"/>
      </w:pPr>
      <w:r>
        <w:t>Comparação entre períodos e comparação contra meta/SLA.</w:t>
      </w:r>
    </w:p>
    <w:p>
      <w:pPr>
        <w:pStyle w:val="Heading1"/>
      </w:pPr>
      <w:r>
        <w:t>12. Diretriz para implementação no produto</w:t>
      </w:r>
    </w:p>
    <w:p>
      <w:r>
        <w:t>Não criar uma segunda base de dados para Governança. A camada deve consumir os cadastros, OS, tempos, custos, contratos, preventivas, causas e evidências já existentes. Novos campos devem ser adicionados apenas quando necessários para responder perguntas executivas que os dados atuais não conseguem responder.</w:t>
      </w:r>
    </w:p>
    <w:p>
      <w:r>
        <w:rPr>
          <w:b/>
        </w:rPr>
        <w:t>Regra de produto: qualquer indicador apresentado no dashboard deve ser auditável e rastreável até os registros operacionais que o compõem.</w:t>
      </w:r>
    </w:p>
    <w:p>
      <w:pPr>
        <w:pStyle w:val="Heading1"/>
      </w:pPr>
      <w:r>
        <w:t>13. Visão futura</w:t>
      </w:r>
    </w:p>
    <w:p>
      <w:r>
        <w:t>Essa camada permite que o software deixe de ser apenas uma ferramenta de manutenção e passe a funcionar também como plataforma de Governança de Ativos e Performance Operacional, adequada para gestores, gerentes industriais, manutenção, contratos e diretoria.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