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73126"/>
          <w:sz w:val="46"/>
        </w:rPr>
        <w:t>Configuración de arquitectura y conexión a base de datos</w:t>
      </w:r>
    </w:p>
    <w:p>
      <w:pPr>
        <w:spacing w:after="240"/>
      </w:pPr>
      <w:r>
        <w:rPr>
          <w:rFonts w:ascii="Calibri" w:hAnsi="Calibri"/>
          <w:color w:val="66756D"/>
          <w:sz w:val="25"/>
        </w:rPr>
        <w:t>Sistema web de trazabilidad y gestión de inventario - Palma Verde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F2F4F7"/>
            <w:vAlign w:val="center"/>
            <w:tcMar>
              <w:top w:w="80" w:type="dxa"/>
              <w:start w:w="120" w:type="dxa"/>
              <w:bottom w:w="80" w:type="dxa"/>
              <w:end w:w="120" w:type="dxa"/>
            </w:tcMar>
          </w:tcPr>
          <w:p>
            <w:r>
              <w:rPr>
                <w:rFonts w:ascii="Calibri" w:hAnsi="Calibri"/>
                <w:b/>
                <w:color w:val="173126"/>
                <w:sz w:val="19"/>
              </w:rPr>
              <w:t>Elemento</w:t>
            </w:r>
          </w:p>
        </w:tc>
        <w:tc>
          <w:tcPr>
            <w:tcW w:type="dxa" w:w="6660"/>
            <w:shd w:fill="F2F4F7"/>
            <w:vAlign w:val="center"/>
            <w:tcMar>
              <w:top w:w="80" w:type="dxa"/>
              <w:start w:w="120" w:type="dxa"/>
              <w:bottom w:w="80" w:type="dxa"/>
              <w:end w:w="120" w:type="dxa"/>
            </w:tcMar>
          </w:tcPr>
          <w:p>
            <w:r>
              <w:rPr>
                <w:rFonts w:ascii="Calibri" w:hAnsi="Calibri"/>
                <w:b/>
                <w:color w:val="173126"/>
                <w:sz w:val="19"/>
              </w:rPr>
              <w:t>Detalle</w:t>
            </w:r>
          </w:p>
        </w:tc>
      </w:tr>
      <w:tr>
        <w:trPr>
          <w:cantSplit/>
        </w:trPr>
        <w:tc>
          <w:tcPr>
            <w:tcW w:type="dxa" w:w="2700"/>
            <w:vAlign w:val="center"/>
            <w:tcMar>
              <w:top w:w="80" w:type="dxa"/>
              <w:start w:w="120" w:type="dxa"/>
              <w:bottom w:w="80" w:type="dxa"/>
              <w:end w:w="120" w:type="dxa"/>
            </w:tcMar>
          </w:tcPr>
          <w:p>
            <w:r>
              <w:rPr>
                <w:rFonts w:ascii="Calibri" w:hAnsi="Calibri"/>
                <w:sz w:val="19"/>
              </w:rPr>
              <w:t>Actividad</w:t>
            </w:r>
          </w:p>
        </w:tc>
        <w:tc>
          <w:tcPr>
            <w:tcW w:type="dxa" w:w="6660"/>
            <w:vAlign w:val="center"/>
            <w:tcMar>
              <w:top w:w="80" w:type="dxa"/>
              <w:start w:w="120" w:type="dxa"/>
              <w:bottom w:w="80" w:type="dxa"/>
              <w:end w:w="120" w:type="dxa"/>
            </w:tcMar>
          </w:tcPr>
          <w:p>
            <w:r>
              <w:rPr>
                <w:rFonts w:ascii="Calibri" w:hAnsi="Calibri"/>
                <w:sz w:val="19"/>
              </w:rPr>
              <w:t>Configuración del ambiente .NET, arquitectura base y persistencia</w:t>
            </w:r>
          </w:p>
        </w:tc>
      </w:tr>
      <w:tr>
        <w:trPr>
          <w:cantSplit/>
        </w:trPr>
        <w:tc>
          <w:tcPr>
            <w:tcW w:type="dxa" w:w="2700"/>
            <w:vAlign w:val="center"/>
            <w:tcMar>
              <w:top w:w="80" w:type="dxa"/>
              <w:start w:w="120" w:type="dxa"/>
              <w:bottom w:w="80" w:type="dxa"/>
              <w:end w:w="120" w:type="dxa"/>
            </w:tcMar>
          </w:tcPr>
          <w:p>
            <w:r>
              <w:rPr>
                <w:rFonts w:ascii="Calibri" w:hAnsi="Calibri"/>
                <w:sz w:val="19"/>
              </w:rPr>
              <w:t>Proyecto evaluado</w:t>
            </w:r>
          </w:p>
        </w:tc>
        <w:tc>
          <w:tcPr>
            <w:tcW w:type="dxa" w:w="6660"/>
            <w:vAlign w:val="center"/>
            <w:tcMar>
              <w:top w:w="80" w:type="dxa"/>
              <w:start w:w="120" w:type="dxa"/>
              <w:bottom w:w="80" w:type="dxa"/>
              <w:end w:w="120" w:type="dxa"/>
            </w:tcMar>
          </w:tcPr>
          <w:p>
            <w:r>
              <w:rPr>
                <w:rFonts w:ascii="Calibri" w:hAnsi="Calibri"/>
                <w:sz w:val="19"/>
              </w:rPr>
              <w:t>Sprint 1 - Administración básica</w:t>
            </w:r>
          </w:p>
        </w:tc>
      </w:tr>
      <w:tr>
        <w:trPr>
          <w:cantSplit/>
        </w:trPr>
        <w:tc>
          <w:tcPr>
            <w:tcW w:type="dxa" w:w="2700"/>
            <w:vAlign w:val="center"/>
            <w:tcMar>
              <w:top w:w="80" w:type="dxa"/>
              <w:start w:w="120" w:type="dxa"/>
              <w:bottom w:w="80" w:type="dxa"/>
              <w:end w:w="120" w:type="dxa"/>
            </w:tcMar>
          </w:tcPr>
          <w:p>
            <w:r>
              <w:rPr>
                <w:rFonts w:ascii="Calibri" w:hAnsi="Calibri"/>
                <w:sz w:val="19"/>
              </w:rPr>
              <w:t>Fecha de verificación</w:t>
            </w:r>
          </w:p>
        </w:tc>
        <w:tc>
          <w:tcPr>
            <w:tcW w:type="dxa" w:w="6660"/>
            <w:vAlign w:val="center"/>
            <w:tcMar>
              <w:top w:w="80" w:type="dxa"/>
              <w:start w:w="120" w:type="dxa"/>
              <w:bottom w:w="80" w:type="dxa"/>
              <w:end w:w="120" w:type="dxa"/>
            </w:tcMar>
          </w:tcPr>
          <w:p>
            <w:r>
              <w:t>24 de agosto de 2026</w:t>
            </w:r>
          </w:p>
        </w:tc>
      </w:tr>
      <w:tr>
        <w:trPr>
          <w:cantSplit/>
        </w:trPr>
        <w:tc>
          <w:tcPr>
            <w:tcW w:type="dxa" w:w="2700"/>
            <w:vAlign w:val="center"/>
            <w:tcMar>
              <w:top w:w="80" w:type="dxa"/>
              <w:start w:w="120" w:type="dxa"/>
              <w:bottom w:w="80" w:type="dxa"/>
              <w:end w:w="120" w:type="dxa"/>
            </w:tcMar>
          </w:tcPr>
          <w:p>
            <w:r>
              <w:rPr>
                <w:rFonts w:ascii="Calibri" w:hAnsi="Calibri"/>
                <w:sz w:val="19"/>
              </w:rPr>
              <w:t>Estado</w:t>
            </w:r>
          </w:p>
        </w:tc>
        <w:tc>
          <w:tcPr>
            <w:tcW w:type="dxa" w:w="6660"/>
            <w:vAlign w:val="center"/>
            <w:tcMar>
              <w:top w:w="80" w:type="dxa"/>
              <w:start w:w="120" w:type="dxa"/>
              <w:bottom w:w="80" w:type="dxa"/>
              <w:end w:w="120" w:type="dxa"/>
            </w:tcMar>
          </w:tcPr>
          <w:p>
            <w:r>
              <w:rPr>
                <w:rFonts w:ascii="Calibri" w:hAnsi="Calibri"/>
                <w:sz w:val="19"/>
              </w:rPr>
              <w:t>Compila, migra, ejecuta y supera las pruebas automatizadas</w:t>
            </w:r>
          </w:p>
        </w:tc>
      </w:tr>
    </w:tbl>
    <w:p>
      <w:pPr>
        <w:spacing w:after="20"/>
      </w:pPr>
    </w:p>
    <w:p>
      <w:pPr>
        <w:pStyle w:val="Heading1"/>
      </w:pPr>
      <w:r>
        <w:t>1. Introducción</w:t>
      </w:r>
    </w:p>
    <w:p>
      <w:r>
        <w:t>El presente informe documenta la configuración del ambiente de desarrollo y la arquitectura base del sistema Palma Verde. La solución fue construida con .NET y separa la interfaz, la API y los contratos compartidos. La persistencia utiliza SQL Server LocalDB mediante Entity Framework Core, mientras que la seguridad de acceso se apoya en autenticación JWT y contraseñas protegidas con BCrypt.</w:t>
      </w:r>
    </w:p>
    <w:p>
      <w:r>
        <w:t>Las evidencias incluidas se obtuvieron directamente del entorno de ejecución: versiones instaladas, configuración del proyecto, migraciones aplicadas, tablas creadas, datos demo, compilación y pruebas automatizadas.</w:t>
      </w:r>
    </w:p>
    <w:p>
      <w:pPr>
        <w:pStyle w:val="Heading1"/>
      </w:pPr>
      <w:r>
        <w:t>2. Propósito y objetivos</w:t>
      </w:r>
    </w:p>
    <w:p>
      <w:r>
        <w:t>Propósito: configurar el ambiente de desarrollo .NET, implementar la conexión segura a la base de datos y establecer una arquitectura mantenible basada en controladores, servicios, repositorios e inyección de dependencias.</w:t>
      </w:r>
    </w:p>
    <w:p>
      <w:pPr>
        <w:pStyle w:val="ListBullet"/>
      </w:pPr>
      <w:r>
        <w:t>Identificar la versión exacta de .NET requerida por la solución.</w:t>
      </w:r>
    </w:p>
    <w:p>
      <w:pPr>
        <w:pStyle w:val="ListBullet"/>
      </w:pPr>
      <w:r>
        <w:t>Describir la separación de responsabilidades entre cliente, servidor y contratos compartidos.</w:t>
      </w:r>
    </w:p>
    <w:p>
      <w:pPr>
        <w:pStyle w:val="ListBullet"/>
      </w:pPr>
      <w:r>
        <w:t>Documentar la cadena de conexión y el proveedor de SQL Server.</w:t>
      </w:r>
    </w:p>
    <w:p>
      <w:pPr>
        <w:pStyle w:val="ListBullet"/>
      </w:pPr>
      <w:r>
        <w:t>Comprobar las migraciones y la creación de la base de datos.</w:t>
      </w:r>
    </w:p>
    <w:p>
      <w:pPr>
        <w:pStyle w:val="ListBullet"/>
      </w:pPr>
      <w:r>
        <w:t>Evidenciar la ejecución correcta mediante compilación, pruebas y acceso web.</w:t>
      </w:r>
    </w:p>
    <w:p>
      <w:pPr>
        <w:pStyle w:val="Heading1"/>
      </w:pPr>
      <w:r>
        <w:t>3. Ambiente de desarrollo .NET</w:t>
      </w:r>
    </w:p>
    <w:p>
      <w:r>
        <w:t>Los tres proyectos declaran TargetFramework net9.0. En el equipo también existe un SDK .NET 10, pero la presencia de una versión posterior no modifica automáticamente la estructura entregada: la solución continúa compilándose para .NET 9.</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cantSplit/>
          <w:tblHeader w:val="true"/>
        </w:trPr>
        <w:tc>
          <w:tcPr>
            <w:tcW w:type="dxa" w:w="2400"/>
            <w:shd w:fill="F2F4F7"/>
            <w:vAlign w:val="center"/>
            <w:tcMar>
              <w:top w:w="80" w:type="dxa"/>
              <w:start w:w="120" w:type="dxa"/>
              <w:bottom w:w="80" w:type="dxa"/>
              <w:end w:w="120" w:type="dxa"/>
            </w:tcMar>
          </w:tcPr>
          <w:p>
            <w:r>
              <w:rPr>
                <w:rFonts w:ascii="Calibri" w:hAnsi="Calibri"/>
                <w:b/>
                <w:color w:val="173126"/>
                <w:sz w:val="19"/>
              </w:rPr>
              <w:t>Componente</w:t>
            </w:r>
          </w:p>
        </w:tc>
        <w:tc>
          <w:tcPr>
            <w:tcW w:type="dxa" w:w="2400"/>
            <w:shd w:fill="F2F4F7"/>
            <w:vAlign w:val="center"/>
            <w:tcMar>
              <w:top w:w="80" w:type="dxa"/>
              <w:start w:w="120" w:type="dxa"/>
              <w:bottom w:w="80" w:type="dxa"/>
              <w:end w:w="120" w:type="dxa"/>
            </w:tcMar>
          </w:tcPr>
          <w:p>
            <w:r>
              <w:rPr>
                <w:rFonts w:ascii="Calibri" w:hAnsi="Calibri"/>
                <w:b/>
                <w:color w:val="173126"/>
                <w:sz w:val="19"/>
              </w:rPr>
              <w:t>Versión / configuración</w:t>
            </w:r>
          </w:p>
        </w:tc>
        <w:tc>
          <w:tcPr>
            <w:tcW w:type="dxa" w:w="4560"/>
            <w:shd w:fill="F2F4F7"/>
            <w:vAlign w:val="center"/>
            <w:tcMar>
              <w:top w:w="80" w:type="dxa"/>
              <w:start w:w="120" w:type="dxa"/>
              <w:bottom w:w="80" w:type="dxa"/>
              <w:end w:w="120" w:type="dxa"/>
            </w:tcMar>
          </w:tcPr>
          <w:p>
            <w:r>
              <w:rPr>
                <w:rFonts w:ascii="Calibri" w:hAnsi="Calibri"/>
                <w:b/>
                <w:color w:val="173126"/>
                <w:sz w:val="19"/>
              </w:rPr>
              <w:t>Evidencia</w:t>
            </w:r>
          </w:p>
        </w:tc>
      </w:tr>
      <w:tr>
        <w:trPr>
          <w:cantSplit/>
        </w:trPr>
        <w:tc>
          <w:tcPr>
            <w:tcW w:type="dxa" w:w="2400"/>
            <w:vAlign w:val="center"/>
            <w:tcMar>
              <w:top w:w="80" w:type="dxa"/>
              <w:start w:w="120" w:type="dxa"/>
              <w:bottom w:w="80" w:type="dxa"/>
              <w:end w:w="120" w:type="dxa"/>
            </w:tcMar>
          </w:tcPr>
          <w:p>
            <w:r>
              <w:rPr>
                <w:rFonts w:ascii="Calibri" w:hAnsi="Calibri"/>
                <w:sz w:val="19"/>
              </w:rPr>
              <w:t>Framework objetivo</w:t>
            </w:r>
          </w:p>
        </w:tc>
        <w:tc>
          <w:tcPr>
            <w:tcW w:type="dxa" w:w="2400"/>
            <w:vAlign w:val="center"/>
            <w:tcMar>
              <w:top w:w="80" w:type="dxa"/>
              <w:start w:w="120" w:type="dxa"/>
              <w:bottom w:w="80" w:type="dxa"/>
              <w:end w:w="120" w:type="dxa"/>
            </w:tcMar>
          </w:tcPr>
          <w:p>
            <w:r>
              <w:rPr>
                <w:rFonts w:ascii="Calibri" w:hAnsi="Calibri"/>
                <w:sz w:val="19"/>
              </w:rPr>
              <w:t>net9.0</w:t>
            </w:r>
          </w:p>
        </w:tc>
        <w:tc>
          <w:tcPr>
            <w:tcW w:type="dxa" w:w="4560"/>
            <w:vAlign w:val="center"/>
            <w:tcMar>
              <w:top w:w="80" w:type="dxa"/>
              <w:start w:w="120" w:type="dxa"/>
              <w:bottom w:w="80" w:type="dxa"/>
              <w:end w:w="120" w:type="dxa"/>
            </w:tcMar>
          </w:tcPr>
          <w:p>
            <w:r>
              <w:rPr>
                <w:rFonts w:ascii="Calibri" w:hAnsi="Calibri"/>
                <w:sz w:val="19"/>
              </w:rPr>
              <w:t>POS.Server, POS.Client y POS.Shared</w:t>
            </w:r>
          </w:p>
        </w:tc>
      </w:tr>
      <w:tr>
        <w:trPr>
          <w:cantSplit/>
        </w:trPr>
        <w:tc>
          <w:tcPr>
            <w:tcW w:type="dxa" w:w="2400"/>
            <w:vAlign w:val="center"/>
            <w:tcMar>
              <w:top w:w="80" w:type="dxa"/>
              <w:start w:w="120" w:type="dxa"/>
              <w:bottom w:w="80" w:type="dxa"/>
              <w:end w:w="120" w:type="dxa"/>
            </w:tcMar>
          </w:tcPr>
          <w:p>
            <w:r>
              <w:rPr>
                <w:rFonts w:ascii="Calibri" w:hAnsi="Calibri"/>
                <w:sz w:val="19"/>
              </w:rPr>
              <w:t>SDK compatible instalado</w:t>
            </w:r>
          </w:p>
        </w:tc>
        <w:tc>
          <w:tcPr>
            <w:tcW w:type="dxa" w:w="2400"/>
            <w:vAlign w:val="center"/>
            <w:tcMar>
              <w:top w:w="80" w:type="dxa"/>
              <w:start w:w="120" w:type="dxa"/>
              <w:bottom w:w="80" w:type="dxa"/>
              <w:end w:w="120" w:type="dxa"/>
            </w:tcMar>
          </w:tcPr>
          <w:p>
            <w:r>
              <w:rPr>
                <w:rFonts w:ascii="Calibri" w:hAnsi="Calibri"/>
                <w:sz w:val="19"/>
              </w:rPr>
              <w:t>9.0.317</w:t>
            </w:r>
          </w:p>
        </w:tc>
        <w:tc>
          <w:tcPr>
            <w:tcW w:type="dxa" w:w="4560"/>
            <w:vAlign w:val="center"/>
            <w:tcMar>
              <w:top w:w="80" w:type="dxa"/>
              <w:start w:w="120" w:type="dxa"/>
              <w:bottom w:w="80" w:type="dxa"/>
              <w:end w:w="120" w:type="dxa"/>
            </w:tcMar>
          </w:tcPr>
          <w:p>
            <w:r>
              <w:rPr>
                <w:rFonts w:ascii="Calibri" w:hAnsi="Calibri"/>
                <w:sz w:val="19"/>
              </w:rPr>
              <w:t>dotnet --list-sdks</w:t>
            </w:r>
          </w:p>
        </w:tc>
      </w:tr>
      <w:tr>
        <w:trPr>
          <w:cantSplit/>
        </w:trPr>
        <w:tc>
          <w:tcPr>
            <w:tcW w:type="dxa" w:w="2400"/>
            <w:vAlign w:val="center"/>
            <w:tcMar>
              <w:top w:w="80" w:type="dxa"/>
              <w:start w:w="120" w:type="dxa"/>
              <w:bottom w:w="80" w:type="dxa"/>
              <w:end w:w="120" w:type="dxa"/>
            </w:tcMar>
          </w:tcPr>
          <w:p>
            <w:r>
              <w:rPr>
                <w:rFonts w:ascii="Calibri" w:hAnsi="Calibri"/>
                <w:sz w:val="19"/>
              </w:rPr>
              <w:t>SDK adicional instalado</w:t>
            </w:r>
          </w:p>
        </w:tc>
        <w:tc>
          <w:tcPr>
            <w:tcW w:type="dxa" w:w="2400"/>
            <w:vAlign w:val="center"/>
            <w:tcMar>
              <w:top w:w="80" w:type="dxa"/>
              <w:start w:w="120" w:type="dxa"/>
              <w:bottom w:w="80" w:type="dxa"/>
              <w:end w:w="120" w:type="dxa"/>
            </w:tcMar>
          </w:tcPr>
          <w:p>
            <w:r>
              <w:rPr>
                <w:rFonts w:ascii="Calibri" w:hAnsi="Calibri"/>
                <w:sz w:val="19"/>
              </w:rPr>
              <w:t>10.0.300</w:t>
            </w:r>
          </w:p>
        </w:tc>
        <w:tc>
          <w:tcPr>
            <w:tcW w:type="dxa" w:w="4560"/>
            <w:vAlign w:val="center"/>
            <w:tcMar>
              <w:top w:w="80" w:type="dxa"/>
              <w:start w:w="120" w:type="dxa"/>
              <w:bottom w:w="80" w:type="dxa"/>
              <w:end w:w="120" w:type="dxa"/>
            </w:tcMar>
          </w:tcPr>
          <w:p>
            <w:r>
              <w:rPr>
                <w:rFonts w:ascii="Calibri" w:hAnsi="Calibri"/>
                <w:sz w:val="19"/>
              </w:rPr>
              <w:t>No cambia TargetFramework</w:t>
            </w:r>
          </w:p>
        </w:tc>
      </w:tr>
      <w:tr>
        <w:trPr>
          <w:cantSplit/>
        </w:trPr>
        <w:tc>
          <w:tcPr>
            <w:tcW w:type="dxa" w:w="2400"/>
            <w:vAlign w:val="center"/>
            <w:tcMar>
              <w:top w:w="80" w:type="dxa"/>
              <w:start w:w="120" w:type="dxa"/>
              <w:bottom w:w="80" w:type="dxa"/>
              <w:end w:w="120" w:type="dxa"/>
            </w:tcMar>
          </w:tcPr>
          <w:p>
            <w:r>
              <w:rPr>
                <w:rFonts w:ascii="Calibri" w:hAnsi="Calibri"/>
                <w:sz w:val="19"/>
              </w:rPr>
              <w:t>EF Core SQL Server</w:t>
            </w:r>
          </w:p>
        </w:tc>
        <w:tc>
          <w:tcPr>
            <w:tcW w:type="dxa" w:w="2400"/>
            <w:vAlign w:val="center"/>
            <w:tcMar>
              <w:top w:w="80" w:type="dxa"/>
              <w:start w:w="120" w:type="dxa"/>
              <w:bottom w:w="80" w:type="dxa"/>
              <w:end w:w="120" w:type="dxa"/>
            </w:tcMar>
          </w:tcPr>
          <w:p>
            <w:r>
              <w:rPr>
                <w:rFonts w:ascii="Calibri" w:hAnsi="Calibri"/>
                <w:sz w:val="19"/>
              </w:rPr>
              <w:t>9.0.19</w:t>
            </w:r>
          </w:p>
        </w:tc>
        <w:tc>
          <w:tcPr>
            <w:tcW w:type="dxa" w:w="4560"/>
            <w:vAlign w:val="center"/>
            <w:tcMar>
              <w:top w:w="80" w:type="dxa"/>
              <w:start w:w="120" w:type="dxa"/>
              <w:bottom w:w="80" w:type="dxa"/>
              <w:end w:w="120" w:type="dxa"/>
            </w:tcMar>
          </w:tcPr>
          <w:p>
            <w:r>
              <w:rPr>
                <w:rFonts w:ascii="Calibri" w:hAnsi="Calibri"/>
                <w:sz w:val="19"/>
              </w:rPr>
              <w:t>POS.Server.csproj</w:t>
            </w:r>
          </w:p>
        </w:tc>
      </w:tr>
      <w:tr>
        <w:trPr>
          <w:cantSplit/>
        </w:trPr>
        <w:tc>
          <w:tcPr>
            <w:tcW w:type="dxa" w:w="2400"/>
            <w:vAlign w:val="center"/>
            <w:tcMar>
              <w:top w:w="80" w:type="dxa"/>
              <w:start w:w="120" w:type="dxa"/>
              <w:bottom w:w="80" w:type="dxa"/>
              <w:end w:w="120" w:type="dxa"/>
            </w:tcMar>
          </w:tcPr>
          <w:p>
            <w:r>
              <w:rPr>
                <w:rFonts w:ascii="Calibri" w:hAnsi="Calibri"/>
                <w:sz w:val="19"/>
              </w:rPr>
              <w:t>BCrypt.Net-Next</w:t>
            </w:r>
          </w:p>
        </w:tc>
        <w:tc>
          <w:tcPr>
            <w:tcW w:type="dxa" w:w="2400"/>
            <w:vAlign w:val="center"/>
            <w:tcMar>
              <w:top w:w="80" w:type="dxa"/>
              <w:start w:w="120" w:type="dxa"/>
              <w:bottom w:w="80" w:type="dxa"/>
              <w:end w:w="120" w:type="dxa"/>
            </w:tcMar>
          </w:tcPr>
          <w:p>
            <w:r>
              <w:rPr>
                <w:rFonts w:ascii="Calibri" w:hAnsi="Calibri"/>
                <w:sz w:val="19"/>
              </w:rPr>
              <w:t>4.2.0</w:t>
            </w:r>
          </w:p>
        </w:tc>
        <w:tc>
          <w:tcPr>
            <w:tcW w:type="dxa" w:w="4560"/>
            <w:vAlign w:val="center"/>
            <w:tcMar>
              <w:top w:w="80" w:type="dxa"/>
              <w:start w:w="120" w:type="dxa"/>
              <w:bottom w:w="80" w:type="dxa"/>
              <w:end w:w="120" w:type="dxa"/>
            </w:tcMar>
          </w:tcPr>
          <w:p>
            <w:r>
              <w:rPr>
                <w:rFonts w:ascii="Calibri" w:hAnsi="Calibri"/>
                <w:sz w:val="19"/>
              </w:rPr>
              <w:t>POS.Server.csproj</w:t>
            </w:r>
          </w:p>
        </w:tc>
      </w:tr>
    </w:tbl>
    <w:p>
      <w:pPr>
        <w:spacing w:after="20"/>
      </w:pPr>
    </w:p>
    <w:p>
      <w:pPr>
        <w:pStyle w:val="Código"/>
        <w:keepLines/>
        <w:shd w:fill="F5F7F6"/>
      </w:pPr>
      <w:r>
        <w:rPr>
          <w:rFonts w:ascii="Consolas" w:hAnsi="Consolas"/>
          <w:color w:val="173126"/>
          <w:sz w:val="17"/>
        </w:rPr>
        <w:t>9.0.317 [C:\Program Files\dotnet\sdk]</w:t>
        <w:br/>
        <w:t>10.0.300 [C:\Program Files\dotnet\sdk]</w:t>
      </w:r>
    </w:p>
    <w:p>
      <w:pPr>
        <w:pStyle w:val="Heading1"/>
      </w:pPr>
      <w:r>
        <w:t>4. Arquitectura base de la solución</w:t>
      </w:r>
    </w:p>
    <w:p>
      <w:r>
        <w:t>La solución aplica una arquitectura cliente-servidor por capas. En el servidor se usa el estilo MVC para API: los controladores reciben solicitudes HTTP, delegan el acceso a datos y retornan respuestas JSON. Al tratarse de una API, la vista visual no se renderiza en el servidor; la función de View corresponde al cliente Blazor WebAssembly.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F2F4F7"/>
            <w:vAlign w:val="center"/>
            <w:tcMar>
              <w:top w:w="80" w:type="dxa"/>
              <w:start w:w="120" w:type="dxa"/>
              <w:bottom w:w="80" w:type="dxa"/>
              <w:end w:w="120" w:type="dxa"/>
            </w:tcMar>
          </w:tcPr>
          <w:p>
            <w:r>
              <w:rPr>
                <w:rFonts w:ascii="Calibri" w:hAnsi="Calibri"/>
                <w:b/>
                <w:color w:val="173126"/>
                <w:sz w:val="19"/>
              </w:rPr>
              <w:t>Proyecto / capa</w:t>
            </w:r>
          </w:p>
        </w:tc>
        <w:tc>
          <w:tcPr>
            <w:tcW w:type="dxa" w:w="6660"/>
            <w:shd w:fill="F2F4F7"/>
            <w:vAlign w:val="center"/>
            <w:tcMar>
              <w:top w:w="80" w:type="dxa"/>
              <w:start w:w="120" w:type="dxa"/>
              <w:bottom w:w="80" w:type="dxa"/>
              <w:end w:w="120" w:type="dxa"/>
            </w:tcMar>
          </w:tcPr>
          <w:p>
            <w:r>
              <w:rPr>
                <w:rFonts w:ascii="Calibri" w:hAnsi="Calibri"/>
                <w:b/>
                <w:color w:val="173126"/>
                <w:sz w:val="19"/>
              </w:rPr>
              <w:t>Responsabilidad principal</w:t>
            </w:r>
          </w:p>
        </w:tc>
      </w:tr>
      <w:tr>
        <w:trPr>
          <w:cantSplit/>
        </w:trPr>
        <w:tc>
          <w:tcPr>
            <w:tcW w:type="dxa" w:w="2700"/>
            <w:vAlign w:val="center"/>
            <w:tcMar>
              <w:top w:w="80" w:type="dxa"/>
              <w:start w:w="120" w:type="dxa"/>
              <w:bottom w:w="80" w:type="dxa"/>
              <w:end w:w="120" w:type="dxa"/>
            </w:tcMar>
          </w:tcPr>
          <w:p>
            <w:r>
              <w:rPr>
                <w:rFonts w:ascii="Calibri" w:hAnsi="Calibri"/>
                <w:sz w:val="19"/>
              </w:rPr>
              <w:t>POS.Client</w:t>
            </w:r>
          </w:p>
        </w:tc>
        <w:tc>
          <w:tcPr>
            <w:tcW w:type="dxa" w:w="6660"/>
            <w:vAlign w:val="center"/>
            <w:tcMar>
              <w:top w:w="80" w:type="dxa"/>
              <w:start w:w="120" w:type="dxa"/>
              <w:bottom w:w="80" w:type="dxa"/>
              <w:end w:w="120" w:type="dxa"/>
            </w:tcMar>
          </w:tcPr>
          <w:p>
            <w:r>
              <w:rPr>
                <w:rFonts w:ascii="Calibri" w:hAnsi="Calibri"/>
                <w:sz w:val="19"/>
              </w:rPr>
              <w:t>Interfaz Blazor WebAssembly, navegación, formularios y consumo autenticado de la API.</w:t>
            </w:r>
          </w:p>
        </w:tc>
      </w:tr>
      <w:tr>
        <w:trPr>
          <w:cantSplit/>
        </w:trPr>
        <w:tc>
          <w:tcPr>
            <w:tcW w:type="dxa" w:w="2700"/>
            <w:vAlign w:val="center"/>
            <w:tcMar>
              <w:top w:w="80" w:type="dxa"/>
              <w:start w:w="120" w:type="dxa"/>
              <w:bottom w:w="80" w:type="dxa"/>
              <w:end w:w="120" w:type="dxa"/>
            </w:tcMar>
          </w:tcPr>
          <w:p>
            <w:r>
              <w:rPr>
                <w:rFonts w:ascii="Calibri" w:hAnsi="Calibri"/>
                <w:sz w:val="19"/>
              </w:rPr>
              <w:t>POS.Server</w:t>
            </w:r>
          </w:p>
        </w:tc>
        <w:tc>
          <w:tcPr>
            <w:tcW w:type="dxa" w:w="6660"/>
            <w:vAlign w:val="center"/>
            <w:tcMar>
              <w:top w:w="80" w:type="dxa"/>
              <w:start w:w="120" w:type="dxa"/>
              <w:bottom w:w="80" w:type="dxa"/>
              <w:end w:w="120" w:type="dxa"/>
            </w:tcMar>
          </w:tcPr>
          <w:p>
            <w:r>
              <w:rPr>
                <w:rFonts w:ascii="Calibri" w:hAnsi="Calibri"/>
                <w:sz w:val="19"/>
              </w:rPr>
              <w:t>API ASP.NET Core, controladores, autenticación, servicios, repositorios y acceso a SQL Server.</w:t>
            </w:r>
          </w:p>
        </w:tc>
      </w:tr>
      <w:tr>
        <w:trPr>
          <w:cantSplit/>
        </w:trPr>
        <w:tc>
          <w:tcPr>
            <w:tcW w:type="dxa" w:w="2700"/>
            <w:vAlign w:val="center"/>
            <w:tcMar>
              <w:top w:w="80" w:type="dxa"/>
              <w:start w:w="120" w:type="dxa"/>
              <w:bottom w:w="80" w:type="dxa"/>
              <w:end w:w="120" w:type="dxa"/>
            </w:tcMar>
          </w:tcPr>
          <w:p>
            <w:r>
              <w:rPr>
                <w:rFonts w:ascii="Calibri" w:hAnsi="Calibri"/>
                <w:sz w:val="19"/>
              </w:rPr>
              <w:t>POS.Shared</w:t>
            </w:r>
          </w:p>
        </w:tc>
        <w:tc>
          <w:tcPr>
            <w:tcW w:type="dxa" w:w="6660"/>
            <w:vAlign w:val="center"/>
            <w:tcMar>
              <w:top w:w="80" w:type="dxa"/>
              <w:start w:w="120" w:type="dxa"/>
              <w:bottom w:w="80" w:type="dxa"/>
              <w:end w:w="120" w:type="dxa"/>
            </w:tcMar>
          </w:tcPr>
          <w:p>
            <w:r>
              <w:rPr>
                <w:rFonts w:ascii="Calibri" w:hAnsi="Calibri"/>
                <w:sz w:val="19"/>
              </w:rPr>
              <w:t>DTO y contratos compartidos entre cliente y servidor para evitar duplicación.</w:t>
            </w:r>
          </w:p>
        </w:tc>
      </w:tr>
      <w:tr>
        <w:trPr>
          <w:cantSplit/>
        </w:trPr>
        <w:tc>
          <w:tcPr>
            <w:tcW w:type="dxa" w:w="2700"/>
            <w:vAlign w:val="center"/>
            <w:tcMar>
              <w:top w:w="80" w:type="dxa"/>
              <w:start w:w="120" w:type="dxa"/>
              <w:bottom w:w="80" w:type="dxa"/>
              <w:end w:w="120" w:type="dxa"/>
            </w:tcMar>
          </w:tcPr>
          <w:p>
            <w:r>
              <w:rPr>
                <w:rFonts w:ascii="Calibri" w:hAnsi="Calibri"/>
                <w:sz w:val="19"/>
              </w:rPr>
              <w:t>POS.Tests</w:t>
            </w:r>
          </w:p>
        </w:tc>
        <w:tc>
          <w:tcPr>
            <w:tcW w:type="dxa" w:w="6660"/>
            <w:vAlign w:val="center"/>
            <w:tcMar>
              <w:top w:w="80" w:type="dxa"/>
              <w:start w:w="120" w:type="dxa"/>
              <w:bottom w:w="80" w:type="dxa"/>
              <w:end w:w="120" w:type="dxa"/>
            </w:tcMar>
          </w:tcPr>
          <w:p>
            <w:r>
              <w:rPr>
                <w:rFonts w:ascii="Calibri" w:hAnsi="Calibri"/>
                <w:sz w:val="19"/>
              </w:rPr>
              <w:t>Pruebas automatizadas de autenticación, seguridad y reglas críticas.</w:t>
            </w:r>
          </w:p>
        </w:tc>
      </w:tr>
    </w:tbl>
    <w:p>
      <w:pPr>
        <w:spacing w:after="20"/>
      </w:pPr>
    </w:p>
    <w:p>
      <w:pPr>
        <w:pStyle w:val="Heading2"/>
      </w:pPr>
      <w:r>
        <w:t>4.1 Correspondencia con MVC</w:t>
      </w:r>
    </w:p>
    <w:p>
      <w:pPr>
        <w:pStyle w:val="ListBullet"/>
      </w:pPr>
      <w:r>
        <w:t>Modelo: entidades, DTO, AppDbContext y reglas de dominio.</w:t>
      </w:r>
    </w:p>
    <w:p>
      <w:pPr>
        <w:pStyle w:val="ListBullet"/>
      </w:pPr>
      <w:r>
        <w:t>Controlador: AuthController, UsersController, RolesController y controladores de catálogos.</w:t>
      </w:r>
    </w:p>
    <w:p>
      <w:pPr>
        <w:pStyle w:val="ListBullet"/>
      </w:pPr>
      <w:r>
        <w:t>Vista: páginas y componentes Razor del proyecto POS.Client.</w:t>
      </w:r>
    </w:p>
    <w:p>
      <w:pPr>
        <w:pStyle w:val="Código"/>
        <w:keepLines/>
        <w:shd w:fill="F5F7F6"/>
      </w:pPr>
      <w:r>
        <w:rPr>
          <w:rFonts w:ascii="Consolas" w:hAnsi="Consolas"/>
          <w:color w:val="173126"/>
          <w:sz w:val="17"/>
        </w:rPr>
        <w:t>builder.Services.AddControllers();</w:t>
        <w:br/>
        <w:t>app.MapControllers();</w:t>
      </w:r>
    </w:p>
    <w:p>
      <w:pPr>
        <w:pStyle w:val="Heading2"/>
      </w:pPr>
      <w:r>
        <w:t>4.2 Inyección de dependencias y ciclo de vida</w:t>
      </w:r>
    </w:p>
    <w:p>
      <w:r>
        <w:t>ASP.NET Core proporciona un contenedor de dependencias centralizado. AppDbContext, repositorios y servicios se registran como Scoped: se crea una instancia por solicitud HTTP. Esta configuración mantiene una unidad de trabajo consistente y evita compartir un DbContext entre solicitudes concurrentes.</w:t>
      </w:r>
    </w:p>
    <w:p>
      <w:pPr>
        <w:pStyle w:val="Código"/>
        <w:keepLines/>
        <w:shd w:fill="F5F7F6"/>
      </w:pPr>
      <w:r>
        <w:rPr>
          <w:rFonts w:ascii="Consolas" w:hAnsi="Consolas"/>
          <w:color w:val="173126"/>
          <w:sz w:val="17"/>
        </w:rPr>
        <w:t>builder.Services.AddDbContext&lt;AppDbContext&gt;(options =&gt;</w:t>
        <w:br/>
        <w:t xml:space="preserve">    options.UseSqlServer(builder.Configuration.GetConnectionString("DefaultConnection")));</w:t>
        <w:br/>
        <w:t>builder.Services.AddScoped&lt;IUserRepository, UserRepository&gt;();</w:t>
        <w:br/>
        <w:t>builder.Services.AddScoped&lt;IRoleRepository, RoleRepository&gt;();</w:t>
        <w:br/>
        <w:t>builder.Services.AddScoped&lt;IAuthService, AuthService&gt;();</w:t>
      </w:r>
    </w:p>
    <w:p>
      <w:pPr>
        <w:pStyle w:val="Heading2"/>
      </w:pPr>
      <w:r>
        <w:t>4.3 Consideración sobre el patrón Singleton</w:t>
      </w:r>
    </w:p>
    <w:p>
      <w:r>
        <w:t>La consigna menciona Singleton. En la implementación actual no se registra un repositorio ni AppDbContext como Singleton, y esto es intencional: Entity Framework Core no es seguro para acceso concurrente y su ciclo de vida recomendado en aplicaciones web es Scoped. El contenedor, la configuración de la aplicación y otros servicios internos del framework se administran centralmente, pero no se debe afirmar que los servicios de datos son Singleton. Si el docente exige una demostración explícita, podría agregarse posteriormente un servicio totalmente inmutable y sin estado; no es necesario ni seguro cambiar el ciclo de vida de la base de datos.</w:t>
      </w:r>
    </w:p>
    <w:p>
      <w:pPr>
        <w:pStyle w:val="Heading1"/>
      </w:pPr>
      <w:r>
        <w:t>5. Configuración de SQL Server</w:t>
      </w:r>
    </w:p>
    <w:p>
      <w:r>
        <w:t>El ambiente utiliza SQL Server 2022 LocalDB con una instancia independiente denominada PalmaVerdeLocalDB. La base de datos se llama PalmaVerdeDb. LocalDB es adecuada para desarrollo porque se ejecuta con la cuenta de Windows y no requiere almacenar usuario y contraseña de SQL Server.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F2F4F7"/>
            <w:vAlign w:val="center"/>
            <w:tcMar>
              <w:top w:w="80" w:type="dxa"/>
              <w:start w:w="120" w:type="dxa"/>
              <w:bottom w:w="80" w:type="dxa"/>
              <w:end w:w="120" w:type="dxa"/>
            </w:tcMar>
          </w:tcPr>
          <w:p>
            <w:r>
              <w:rPr>
                <w:rFonts w:ascii="Calibri" w:hAnsi="Calibri"/>
                <w:b/>
                <w:color w:val="173126"/>
                <w:sz w:val="19"/>
              </w:rPr>
              <w:t>Parámetro</w:t>
            </w:r>
          </w:p>
        </w:tc>
        <w:tc>
          <w:tcPr>
            <w:tcW w:type="dxa" w:w="6660"/>
            <w:shd w:fill="F2F4F7"/>
            <w:vAlign w:val="center"/>
            <w:tcMar>
              <w:top w:w="80" w:type="dxa"/>
              <w:start w:w="120" w:type="dxa"/>
              <w:bottom w:w="80" w:type="dxa"/>
              <w:end w:w="120" w:type="dxa"/>
            </w:tcMar>
          </w:tcPr>
          <w:p>
            <w:r>
              <w:rPr>
                <w:rFonts w:ascii="Calibri" w:hAnsi="Calibri"/>
                <w:b/>
                <w:color w:val="173126"/>
                <w:sz w:val="19"/>
              </w:rPr>
              <w:t>Valor</w:t>
            </w:r>
          </w:p>
        </w:tc>
      </w:tr>
      <w:tr>
        <w:trPr>
          <w:cantSplit/>
        </w:trPr>
        <w:tc>
          <w:tcPr>
            <w:tcW w:type="dxa" w:w="2700"/>
            <w:vAlign w:val="center"/>
            <w:tcMar>
              <w:top w:w="80" w:type="dxa"/>
              <w:start w:w="120" w:type="dxa"/>
              <w:bottom w:w="80" w:type="dxa"/>
              <w:end w:w="120" w:type="dxa"/>
            </w:tcMar>
          </w:tcPr>
          <w:p>
            <w:r>
              <w:rPr>
                <w:rFonts w:ascii="Calibri" w:hAnsi="Calibri"/>
                <w:sz w:val="19"/>
              </w:rPr>
              <w:t>Servidor</w:t>
            </w:r>
          </w:p>
        </w:tc>
        <w:tc>
          <w:tcPr>
            <w:tcW w:type="dxa" w:w="6660"/>
            <w:vAlign w:val="center"/>
            <w:tcMar>
              <w:top w:w="80" w:type="dxa"/>
              <w:start w:w="120" w:type="dxa"/>
              <w:bottom w:w="80" w:type="dxa"/>
              <w:end w:w="120" w:type="dxa"/>
            </w:tcMar>
          </w:tcPr>
          <w:p>
            <w:r>
              <w:rPr>
                <w:rFonts w:ascii="Calibri" w:hAnsi="Calibri"/>
                <w:sz w:val="19"/>
              </w:rPr>
              <w:t>(localdb)\PalmaVerdeLocalDB</w:t>
            </w:r>
          </w:p>
        </w:tc>
      </w:tr>
      <w:tr>
        <w:trPr>
          <w:cantSplit/>
        </w:trPr>
        <w:tc>
          <w:tcPr>
            <w:tcW w:type="dxa" w:w="2700"/>
            <w:vAlign w:val="center"/>
            <w:tcMar>
              <w:top w:w="80" w:type="dxa"/>
              <w:start w:w="120" w:type="dxa"/>
              <w:bottom w:w="80" w:type="dxa"/>
              <w:end w:w="120" w:type="dxa"/>
            </w:tcMar>
          </w:tcPr>
          <w:p>
            <w:r>
              <w:rPr>
                <w:rFonts w:ascii="Calibri" w:hAnsi="Calibri"/>
                <w:sz w:val="19"/>
              </w:rPr>
              <w:t>Base de datos</w:t>
            </w:r>
          </w:p>
        </w:tc>
        <w:tc>
          <w:tcPr>
            <w:tcW w:type="dxa" w:w="6660"/>
            <w:vAlign w:val="center"/>
            <w:tcMar>
              <w:top w:w="80" w:type="dxa"/>
              <w:start w:w="120" w:type="dxa"/>
              <w:bottom w:w="80" w:type="dxa"/>
              <w:end w:w="120" w:type="dxa"/>
            </w:tcMar>
          </w:tcPr>
          <w:p>
            <w:r>
              <w:rPr>
                <w:rFonts w:ascii="Calibri" w:hAnsi="Calibri"/>
                <w:sz w:val="19"/>
              </w:rPr>
              <w:t>PalmaVerdeDb</w:t>
            </w:r>
          </w:p>
        </w:tc>
      </w:tr>
      <w:tr>
        <w:trPr>
          <w:cantSplit/>
        </w:trPr>
        <w:tc>
          <w:tcPr>
            <w:tcW w:type="dxa" w:w="2700"/>
            <w:vAlign w:val="center"/>
            <w:tcMar>
              <w:top w:w="80" w:type="dxa"/>
              <w:start w:w="120" w:type="dxa"/>
              <w:bottom w:w="80" w:type="dxa"/>
              <w:end w:w="120" w:type="dxa"/>
            </w:tcMar>
          </w:tcPr>
          <w:p>
            <w:r>
              <w:rPr>
                <w:rFonts w:ascii="Calibri" w:hAnsi="Calibri"/>
                <w:sz w:val="19"/>
              </w:rPr>
              <w:t>Autenticación</w:t>
            </w:r>
          </w:p>
        </w:tc>
        <w:tc>
          <w:tcPr>
            <w:tcW w:type="dxa" w:w="6660"/>
            <w:vAlign w:val="center"/>
            <w:tcMar>
              <w:top w:w="80" w:type="dxa"/>
              <w:start w:w="120" w:type="dxa"/>
              <w:bottom w:w="80" w:type="dxa"/>
              <w:end w:w="120" w:type="dxa"/>
            </w:tcMar>
          </w:tcPr>
          <w:p>
            <w:r>
              <w:rPr>
                <w:rFonts w:ascii="Calibri" w:hAnsi="Calibri"/>
                <w:sz w:val="19"/>
              </w:rPr>
              <w:t>Trusted_Connection=True (credenciales de Windows)</w:t>
            </w:r>
          </w:p>
        </w:tc>
      </w:tr>
      <w:tr>
        <w:trPr>
          <w:cantSplit/>
        </w:trPr>
        <w:tc>
          <w:tcPr>
            <w:tcW w:type="dxa" w:w="2700"/>
            <w:vAlign w:val="center"/>
            <w:tcMar>
              <w:top w:w="80" w:type="dxa"/>
              <w:start w:w="120" w:type="dxa"/>
              <w:bottom w:w="80" w:type="dxa"/>
              <w:end w:w="120" w:type="dxa"/>
            </w:tcMar>
          </w:tcPr>
          <w:p>
            <w:r>
              <w:rPr>
                <w:rFonts w:ascii="Calibri" w:hAnsi="Calibri"/>
                <w:sz w:val="19"/>
              </w:rPr>
              <w:t>Certificado local</w:t>
            </w:r>
          </w:p>
        </w:tc>
        <w:tc>
          <w:tcPr>
            <w:tcW w:type="dxa" w:w="6660"/>
            <w:vAlign w:val="center"/>
            <w:tcMar>
              <w:top w:w="80" w:type="dxa"/>
              <w:start w:w="120" w:type="dxa"/>
              <w:bottom w:w="80" w:type="dxa"/>
              <w:end w:w="120" w:type="dxa"/>
            </w:tcMar>
          </w:tcPr>
          <w:p>
            <w:r>
              <w:rPr>
                <w:rFonts w:ascii="Calibri" w:hAnsi="Calibri"/>
                <w:sz w:val="19"/>
              </w:rPr>
              <w:t>TrustServerCertificate=True</w:t>
            </w:r>
          </w:p>
        </w:tc>
      </w:tr>
      <w:tr>
        <w:trPr>
          <w:cantSplit/>
        </w:trPr>
        <w:tc>
          <w:tcPr>
            <w:tcW w:type="dxa" w:w="2700"/>
            <w:vAlign w:val="center"/>
            <w:tcMar>
              <w:top w:w="80" w:type="dxa"/>
              <w:start w:w="120" w:type="dxa"/>
              <w:bottom w:w="80" w:type="dxa"/>
              <w:end w:w="120" w:type="dxa"/>
            </w:tcMar>
          </w:tcPr>
          <w:p>
            <w:r>
              <w:rPr>
                <w:rFonts w:ascii="Calibri" w:hAnsi="Calibri"/>
                <w:sz w:val="19"/>
              </w:rPr>
              <w:t>Proveedor EF Core</w:t>
            </w:r>
          </w:p>
        </w:tc>
        <w:tc>
          <w:tcPr>
            <w:tcW w:type="dxa" w:w="6660"/>
            <w:vAlign w:val="center"/>
            <w:tcMar>
              <w:top w:w="80" w:type="dxa"/>
              <w:start w:w="120" w:type="dxa"/>
              <w:bottom w:w="80" w:type="dxa"/>
              <w:end w:w="120" w:type="dxa"/>
            </w:tcMar>
          </w:tcPr>
          <w:p>
            <w:r>
              <w:rPr>
                <w:rFonts w:ascii="Calibri" w:hAnsi="Calibri"/>
                <w:sz w:val="19"/>
              </w:rPr>
              <w:t>Microsoft.EntityFrameworkCore.SqlServer 9.0.19</w:t>
            </w:r>
          </w:p>
        </w:tc>
      </w:tr>
    </w:tbl>
    <w:p>
      <w:pPr>
        <w:spacing w:after="20"/>
      </w:pPr>
    </w:p>
    <w:p>
      <w:pPr>
        <w:pStyle w:val="Código"/>
        <w:keepLines/>
        <w:shd w:fill="F5F7F6"/>
      </w:pPr>
      <w:r>
        <w:rPr>
          <w:rFonts w:ascii="Consolas" w:hAnsi="Consolas"/>
          <w:color w:val="173126"/>
          <w:sz w:val="17"/>
        </w:rPr>
        <w:t>"DefaultConnection": "Server=(localdb)\\PalmaVerdeLocalDB;Database=PalmaVerdeDb;Trusted_Connection=True;TrustServerCertificate=True"</w:t>
      </w:r>
    </w:p>
    <w:p>
      <w:r>
        <w:t>Evaluación de seguridad: la cadena no contiene contraseña, lo cual reduce la exposición de secretos. Para producción debe reemplazarse LocalDB, usar cifrado y almacenar valores sensibles mediante variables de entorno, User Secrets o un gestor de secretos. La clave JWT fue retirada de appsettings.json. En cada computadora se configura mediante .NET User Secrets, por lo que su valor queda fuera del repositorio y del documento.</w:t>
      </w:r>
    </w:p>
    <w:p>
      <w:pPr>
        <w:pStyle w:val="Código"/>
      </w:pPr>
      <w:r>
        <w:t>Configuración local del secreto: dotnet user-secrets set "JwtSettings:SecretKey" "&lt;clave-aleatoria-segura&gt;" --project "POS\POS.Server\POS.Server.csproj"</w:t>
      </w:r>
    </w:p>
    <w:p>
      <w:pPr>
        <w:pStyle w:val="Heading1"/>
      </w:pPr>
      <w:r>
        <w:t>6. Entity Framework Core y migraciones</w:t>
      </w:r>
    </w:p>
    <w:p>
      <w:r>
        <w:t>Entity Framework Core actúa como ORM. AppDbContext representa la sesión con la base de datos, las entidades se mapean a tablas y las migraciones conservan el historial de cambios del esquema.</w:t>
      </w:r>
    </w:p>
    <w:tbl>
      <w:tblPr>
        <w:tblStyle w:val="TableGrid"/>
        <w:tblW w:type="dxa" w:w="9360"/>
        <w:jc w:val="left"/>
        <w:tblLayout w:type="fixed"/>
        <w:tblLook w:firstColumn="1" w:firstRow="1" w:lastColumn="0" w:lastRow="0" w:noHBand="0" w:noVBand="1" w:val="04A0"/>
        <w:tblInd w:w="120" w:type="dxa"/>
      </w:tblPr>
      <w:tblGrid>
        <w:gridCol w:w="4300"/>
        <w:gridCol w:w="5060"/>
      </w:tblGrid>
      <w:tr>
        <w:trPr>
          <w:cantSplit/>
          <w:tblHeader w:val="true"/>
        </w:trPr>
        <w:tc>
          <w:tcPr>
            <w:tcW w:type="dxa" w:w="4300"/>
            <w:shd w:fill="F2F4F7"/>
            <w:vAlign w:val="center"/>
            <w:tcMar>
              <w:top w:w="80" w:type="dxa"/>
              <w:start w:w="120" w:type="dxa"/>
              <w:bottom w:w="80" w:type="dxa"/>
              <w:end w:w="120" w:type="dxa"/>
            </w:tcMar>
          </w:tcPr>
          <w:p>
            <w:r>
              <w:rPr>
                <w:rFonts w:ascii="Calibri" w:hAnsi="Calibri"/>
                <w:b/>
                <w:color w:val="173126"/>
                <w:sz w:val="19"/>
              </w:rPr>
              <w:t>Migración aplicada</w:t>
            </w:r>
          </w:p>
        </w:tc>
        <w:tc>
          <w:tcPr>
            <w:tcW w:type="dxa" w:w="5060"/>
            <w:shd w:fill="F2F4F7"/>
            <w:vAlign w:val="center"/>
            <w:tcMar>
              <w:top w:w="80" w:type="dxa"/>
              <w:start w:w="120" w:type="dxa"/>
              <w:bottom w:w="80" w:type="dxa"/>
              <w:end w:w="120" w:type="dxa"/>
            </w:tcMar>
          </w:tcPr>
          <w:p>
            <w:r>
              <w:rPr>
                <w:rFonts w:ascii="Calibri" w:hAnsi="Calibri"/>
                <w:b/>
                <w:color w:val="173126"/>
                <w:sz w:val="19"/>
              </w:rPr>
              <w:t>Finalidad</w:t>
            </w:r>
          </w:p>
        </w:tc>
      </w:tr>
      <w:tr>
        <w:trPr>
          <w:cantSplit/>
        </w:trPr>
        <w:tc>
          <w:tcPr>
            <w:tcW w:type="dxa" w:w="4300"/>
            <w:vAlign w:val="center"/>
            <w:tcMar>
              <w:top w:w="80" w:type="dxa"/>
              <w:start w:w="120" w:type="dxa"/>
              <w:bottom w:w="80" w:type="dxa"/>
              <w:end w:w="120" w:type="dxa"/>
            </w:tcMar>
          </w:tcPr>
          <w:p>
            <w:r>
              <w:rPr>
                <w:rFonts w:ascii="Calibri" w:hAnsi="Calibri"/>
                <w:sz w:val="19"/>
              </w:rPr>
              <w:t>20260818173150_InitialDB</w:t>
            </w:r>
          </w:p>
        </w:tc>
        <w:tc>
          <w:tcPr>
            <w:tcW w:type="dxa" w:w="5060"/>
            <w:vAlign w:val="center"/>
            <w:tcMar>
              <w:top w:w="80" w:type="dxa"/>
              <w:start w:w="120" w:type="dxa"/>
              <w:bottom w:w="80" w:type="dxa"/>
              <w:end w:w="120" w:type="dxa"/>
            </w:tcMar>
          </w:tcPr>
          <w:p>
            <w:r>
              <w:rPr>
                <w:rFonts w:ascii="Calibri" w:hAnsi="Calibri"/>
                <w:sz w:val="19"/>
              </w:rPr>
              <w:t>Migración inicial registrada.</w:t>
            </w:r>
          </w:p>
        </w:tc>
      </w:tr>
      <w:tr>
        <w:trPr>
          <w:cantSplit/>
        </w:trPr>
        <w:tc>
          <w:tcPr>
            <w:tcW w:type="dxa" w:w="4300"/>
            <w:vAlign w:val="center"/>
            <w:tcMar>
              <w:top w:w="80" w:type="dxa"/>
              <w:start w:w="120" w:type="dxa"/>
              <w:bottom w:w="80" w:type="dxa"/>
              <w:end w:w="120" w:type="dxa"/>
            </w:tcMar>
          </w:tcPr>
          <w:p>
            <w:r>
              <w:rPr>
                <w:rFonts w:ascii="Calibri" w:hAnsi="Calibri"/>
                <w:sz w:val="19"/>
              </w:rPr>
              <w:t>20260819004804_InitialDB</w:t>
            </w:r>
          </w:p>
        </w:tc>
        <w:tc>
          <w:tcPr>
            <w:tcW w:type="dxa" w:w="5060"/>
            <w:vAlign w:val="center"/>
            <w:tcMar>
              <w:top w:w="80" w:type="dxa"/>
              <w:start w:w="120" w:type="dxa"/>
              <w:bottom w:w="80" w:type="dxa"/>
              <w:end w:w="120" w:type="dxa"/>
            </w:tcMar>
          </w:tcPr>
          <w:p>
            <w:r>
              <w:rPr>
                <w:rFonts w:ascii="Calibri" w:hAnsi="Calibri"/>
                <w:sz w:val="19"/>
              </w:rPr>
              <w:t>Ajuste posterior del esquema inicial.</w:t>
            </w:r>
          </w:p>
        </w:tc>
      </w:tr>
      <w:tr>
        <w:trPr>
          <w:cantSplit/>
        </w:trPr>
        <w:tc>
          <w:tcPr>
            <w:tcW w:type="dxa" w:w="4300"/>
            <w:vAlign w:val="center"/>
            <w:tcMar>
              <w:top w:w="80" w:type="dxa"/>
              <w:start w:w="120" w:type="dxa"/>
              <w:bottom w:w="80" w:type="dxa"/>
              <w:end w:w="120" w:type="dxa"/>
            </w:tcMar>
          </w:tcPr>
          <w:p>
            <w:r>
              <w:rPr>
                <w:rFonts w:ascii="Calibri" w:hAnsi="Calibri"/>
                <w:sz w:val="19"/>
              </w:rPr>
              <w:t>20260821174316_PalmaVerdeSprint1</w:t>
            </w:r>
          </w:p>
        </w:tc>
        <w:tc>
          <w:tcPr>
            <w:tcW w:type="dxa" w:w="5060"/>
            <w:vAlign w:val="center"/>
            <w:tcMar>
              <w:top w:w="80" w:type="dxa"/>
              <w:start w:w="120" w:type="dxa"/>
              <w:bottom w:w="80" w:type="dxa"/>
              <w:end w:w="120" w:type="dxa"/>
            </w:tcMar>
          </w:tcPr>
          <w:p>
            <w:r>
              <w:rPr>
                <w:rFonts w:ascii="Calibri" w:hAnsi="Calibri"/>
                <w:sz w:val="19"/>
              </w:rPr>
              <w:t>Esquema funcional y datos requeridos para Sprint 1.</w:t>
            </w:r>
          </w:p>
        </w:tc>
      </w:tr>
      <w:tr>
        <w:trPr>
          <w:cantSplit/>
        </w:trPr>
        <w:tc>
          <w:tcPr>
            <w:tcW w:type="dxa" w:w="4300"/>
            <w:vAlign w:val="center"/>
            <w:tcMar>
              <w:top w:w="80" w:type="dxa"/>
              <w:start w:w="120" w:type="dxa"/>
              <w:bottom w:w="80" w:type="dxa"/>
              <w:end w:w="120" w:type="dxa"/>
            </w:tcMar>
          </w:tcPr>
          <w:p>
            <w:r>
              <w:rPr>
                <w:rFonts w:ascii="Calibri" w:hAnsi="Calibri"/>
                <w:sz w:val="19"/>
              </w:rPr>
              <w:t>20260821180438_RoleLogicalDeletion</w:t>
            </w:r>
          </w:p>
        </w:tc>
        <w:tc>
          <w:tcPr>
            <w:tcW w:type="dxa" w:w="5060"/>
            <w:vAlign w:val="center"/>
            <w:tcMar>
              <w:top w:w="80" w:type="dxa"/>
              <w:start w:w="120" w:type="dxa"/>
              <w:bottom w:w="80" w:type="dxa"/>
              <w:end w:w="120" w:type="dxa"/>
            </w:tcMar>
          </w:tcPr>
          <w:p>
            <w:r>
              <w:rPr>
                <w:rFonts w:ascii="Calibri" w:hAnsi="Calibri"/>
                <w:sz w:val="19"/>
              </w:rPr>
              <w:t>Agrega el estado lógico IsActive a los roles.</w:t>
            </w:r>
          </w:p>
        </w:tc>
      </w:tr>
    </w:tbl>
    <w:p>
      <w:pPr>
        <w:spacing w:after="20"/>
      </w:pPr>
    </w:p>
    <w:p>
      <w:pPr>
        <w:pStyle w:val="Heading2"/>
      </w:pPr>
      <w:r>
        <w:t>6.1 Creación desde cero</w:t>
      </w:r>
    </w:p>
    <w:p>
      <w:r>
        <w:t>Con SQL Server LocalDB instalado y la instancia disponible, la base se crea y actualiza desde la carpeta raíz mediante:</w:t>
      </w:r>
    </w:p>
    <w:p>
      <w:pPr>
        <w:pStyle w:val="Código"/>
        <w:keepLines/>
        <w:shd w:fill="F5F7F6"/>
      </w:pPr>
      <w:r>
        <w:rPr>
          <w:rFonts w:ascii="Consolas" w:hAnsi="Consolas"/>
          <w:color w:val="173126"/>
          <w:sz w:val="17"/>
        </w:rPr>
        <w:t>dotnet ef database update --project "POS\POS.Server\POS.Server.csproj" --startup-project "POS\POS.Server\POS.Server.csproj"</w:t>
      </w:r>
    </w:p>
    <w:p>
      <w:r>
        <w:t>El comando conecta a PalmaVerdeDb, consulta __EFMigrationsHistory y ejecuta únicamente las migraciones pendientes. Al iniciar POS.Server, DbSeeder también verifica y carga los datos demo sin duplicarlos.</w:t>
      </w:r>
    </w:p>
    <w:p>
      <w:pPr>
        <w:pStyle w:val="Heading1"/>
      </w:pPr>
      <w:r>
        <w:t>7. Evidencia de base de datos</w:t>
      </w:r>
    </w:p>
    <w:p>
      <w:r>
        <w:t>La consulta ejecutada contra la instancia LocalDB confirmó las tablas principales y la cantidad de registros iniciales:</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cantSplit/>
          <w:tblHeader w:val="true"/>
        </w:trPr>
        <w:tc>
          <w:tcPr>
            <w:tcW w:type="dxa" w:w="2500"/>
            <w:shd w:fill="F2F4F7"/>
            <w:vAlign w:val="center"/>
            <w:tcMar>
              <w:top w:w="80" w:type="dxa"/>
              <w:start w:w="120" w:type="dxa"/>
              <w:bottom w:w="80" w:type="dxa"/>
              <w:end w:w="120" w:type="dxa"/>
            </w:tcMar>
          </w:tcPr>
          <w:p>
            <w:r>
              <w:rPr>
                <w:rFonts w:ascii="Calibri" w:hAnsi="Calibri"/>
                <w:b/>
                <w:color w:val="173126"/>
                <w:sz w:val="19"/>
              </w:rPr>
              <w:t>Tabla</w:t>
            </w:r>
          </w:p>
        </w:tc>
        <w:tc>
          <w:tcPr>
            <w:tcW w:type="dxa" w:w="2500"/>
            <w:shd w:fill="F2F4F7"/>
            <w:vAlign w:val="center"/>
            <w:tcMar>
              <w:top w:w="80" w:type="dxa"/>
              <w:start w:w="120" w:type="dxa"/>
              <w:bottom w:w="80" w:type="dxa"/>
              <w:end w:w="120" w:type="dxa"/>
            </w:tcMar>
          </w:tcPr>
          <w:p>
            <w:r>
              <w:rPr>
                <w:rFonts w:ascii="Calibri" w:hAnsi="Calibri"/>
                <w:b/>
                <w:color w:val="173126"/>
                <w:sz w:val="19"/>
              </w:rPr>
              <w:t>Registros comprobados</w:t>
            </w:r>
          </w:p>
        </w:tc>
        <w:tc>
          <w:tcPr>
            <w:tcW w:type="dxa" w:w="4360"/>
            <w:shd w:fill="F2F4F7"/>
            <w:vAlign w:val="center"/>
            <w:tcMar>
              <w:top w:w="80" w:type="dxa"/>
              <w:start w:w="120" w:type="dxa"/>
              <w:bottom w:w="80" w:type="dxa"/>
              <w:end w:w="120" w:type="dxa"/>
            </w:tcMar>
          </w:tcPr>
          <w:p>
            <w:r>
              <w:rPr>
                <w:rFonts w:ascii="Calibri" w:hAnsi="Calibri"/>
                <w:b/>
                <w:color w:val="173126"/>
                <w:sz w:val="19"/>
              </w:rPr>
              <w:t>Contenido esperado</w:t>
            </w:r>
          </w:p>
        </w:tc>
      </w:tr>
      <w:tr>
        <w:trPr>
          <w:cantSplit/>
        </w:trPr>
        <w:tc>
          <w:tcPr>
            <w:tcW w:type="dxa" w:w="2500"/>
            <w:vAlign w:val="center"/>
            <w:tcMar>
              <w:top w:w="80" w:type="dxa"/>
              <w:start w:w="120" w:type="dxa"/>
              <w:bottom w:w="80" w:type="dxa"/>
              <w:end w:w="120" w:type="dxa"/>
            </w:tcMar>
          </w:tcPr>
          <w:p>
            <w:r>
              <w:rPr>
                <w:rFonts w:ascii="Calibri" w:hAnsi="Calibri"/>
                <w:sz w:val="19"/>
              </w:rPr>
              <w:t>ROL</w:t>
            </w:r>
          </w:p>
        </w:tc>
        <w:tc>
          <w:tcPr>
            <w:tcW w:type="dxa" w:w="2500"/>
            <w:vAlign w:val="center"/>
            <w:tcMar>
              <w:top w:w="80" w:type="dxa"/>
              <w:start w:w="120" w:type="dxa"/>
              <w:bottom w:w="80" w:type="dxa"/>
              <w:end w:w="120" w:type="dxa"/>
            </w:tcMar>
          </w:tcPr>
          <w:p>
            <w:r>
              <w:rPr>
                <w:rFonts w:ascii="Calibri" w:hAnsi="Calibri"/>
                <w:sz w:val="19"/>
              </w:rPr>
              <w:t>4</w:t>
            </w:r>
          </w:p>
        </w:tc>
        <w:tc>
          <w:tcPr>
            <w:tcW w:type="dxa" w:w="4360"/>
            <w:vAlign w:val="center"/>
            <w:tcMar>
              <w:top w:w="80" w:type="dxa"/>
              <w:start w:w="120" w:type="dxa"/>
              <w:bottom w:w="80" w:type="dxa"/>
              <w:end w:w="120" w:type="dxa"/>
            </w:tcMar>
          </w:tcPr>
          <w:p>
            <w:r>
              <w:rPr>
                <w:rFonts w:ascii="Calibri" w:hAnsi="Calibri"/>
                <w:sz w:val="19"/>
              </w:rPr>
              <w:t>Administrador, Producción, Almacén y Gerencia</w:t>
            </w:r>
          </w:p>
        </w:tc>
      </w:tr>
      <w:tr>
        <w:trPr>
          <w:cantSplit/>
        </w:trPr>
        <w:tc>
          <w:tcPr>
            <w:tcW w:type="dxa" w:w="2500"/>
            <w:vAlign w:val="center"/>
            <w:tcMar>
              <w:top w:w="80" w:type="dxa"/>
              <w:start w:w="120" w:type="dxa"/>
              <w:bottom w:w="80" w:type="dxa"/>
              <w:end w:w="120" w:type="dxa"/>
            </w:tcMar>
          </w:tcPr>
          <w:p>
            <w:r>
              <w:rPr>
                <w:rFonts w:ascii="Calibri" w:hAnsi="Calibri"/>
                <w:sz w:val="19"/>
              </w:rPr>
              <w:t>USUARIO</w:t>
            </w:r>
          </w:p>
        </w:tc>
        <w:tc>
          <w:tcPr>
            <w:tcW w:type="dxa" w:w="2500"/>
            <w:vAlign w:val="center"/>
            <w:tcMar>
              <w:top w:w="80" w:type="dxa"/>
              <w:start w:w="120" w:type="dxa"/>
              <w:bottom w:w="80" w:type="dxa"/>
              <w:end w:w="120" w:type="dxa"/>
            </w:tcMar>
          </w:tcPr>
          <w:p>
            <w:r>
              <w:rPr>
                <w:rFonts w:ascii="Calibri" w:hAnsi="Calibri"/>
                <w:sz w:val="19"/>
              </w:rPr>
              <w:t>4</w:t>
            </w:r>
          </w:p>
        </w:tc>
        <w:tc>
          <w:tcPr>
            <w:tcW w:type="dxa" w:w="4360"/>
            <w:vAlign w:val="center"/>
            <w:tcMar>
              <w:top w:w="80" w:type="dxa"/>
              <w:start w:w="120" w:type="dxa"/>
              <w:bottom w:w="80" w:type="dxa"/>
              <w:end w:w="120" w:type="dxa"/>
            </w:tcMar>
          </w:tcPr>
          <w:p>
            <w:r>
              <w:rPr>
                <w:rFonts w:ascii="Calibri" w:hAnsi="Calibri"/>
                <w:sz w:val="19"/>
              </w:rPr>
              <w:t>admin, produccion, almacen y gerencia</w:t>
            </w:r>
          </w:p>
        </w:tc>
      </w:tr>
      <w:tr>
        <w:trPr>
          <w:cantSplit/>
        </w:trPr>
        <w:tc>
          <w:tcPr>
            <w:tcW w:type="dxa" w:w="2500"/>
            <w:vAlign w:val="center"/>
            <w:tcMar>
              <w:top w:w="80" w:type="dxa"/>
              <w:start w:w="120" w:type="dxa"/>
              <w:bottom w:w="80" w:type="dxa"/>
              <w:end w:w="120" w:type="dxa"/>
            </w:tcMar>
          </w:tcPr>
          <w:p>
            <w:r>
              <w:rPr>
                <w:rFonts w:ascii="Calibri" w:hAnsi="Calibri"/>
                <w:sz w:val="19"/>
              </w:rPr>
              <w:t>PROVEEDOR</w:t>
            </w:r>
          </w:p>
        </w:tc>
        <w:tc>
          <w:tcPr>
            <w:tcW w:type="dxa" w:w="2500"/>
            <w:vAlign w:val="center"/>
            <w:tcMar>
              <w:top w:w="80" w:type="dxa"/>
              <w:start w:w="120" w:type="dxa"/>
              <w:bottom w:w="80" w:type="dxa"/>
              <w:end w:w="120" w:type="dxa"/>
            </w:tcMar>
          </w:tcPr>
          <w:p>
            <w:r>
              <w:rPr>
                <w:rFonts w:ascii="Calibri" w:hAnsi="Calibri"/>
                <w:sz w:val="19"/>
              </w:rPr>
              <w:t>2</w:t>
            </w:r>
          </w:p>
        </w:tc>
        <w:tc>
          <w:tcPr>
            <w:tcW w:type="dxa" w:w="4360"/>
            <w:vAlign w:val="center"/>
            <w:tcMar>
              <w:top w:w="80" w:type="dxa"/>
              <w:start w:w="120" w:type="dxa"/>
              <w:bottom w:w="80" w:type="dxa"/>
              <w:end w:w="120" w:type="dxa"/>
            </w:tcMar>
          </w:tcPr>
          <w:p>
            <w:r>
              <w:rPr>
                <w:rFonts w:ascii="Calibri" w:hAnsi="Calibri"/>
                <w:sz w:val="19"/>
              </w:rPr>
              <w:t>Proveedores demo</w:t>
            </w:r>
          </w:p>
        </w:tc>
      </w:tr>
      <w:tr>
        <w:trPr>
          <w:cantSplit/>
        </w:trPr>
        <w:tc>
          <w:tcPr>
            <w:tcW w:type="dxa" w:w="2500"/>
            <w:vAlign w:val="center"/>
            <w:tcMar>
              <w:top w:w="80" w:type="dxa"/>
              <w:start w:w="120" w:type="dxa"/>
              <w:bottom w:w="80" w:type="dxa"/>
              <w:end w:w="120" w:type="dxa"/>
            </w:tcMar>
          </w:tcPr>
          <w:p>
            <w:r>
              <w:rPr>
                <w:rFonts w:ascii="Calibri" w:hAnsi="Calibri"/>
                <w:sz w:val="19"/>
              </w:rPr>
              <w:t>MATERIA_PRIMA</w:t>
            </w:r>
          </w:p>
        </w:tc>
        <w:tc>
          <w:tcPr>
            <w:tcW w:type="dxa" w:w="2500"/>
            <w:vAlign w:val="center"/>
            <w:tcMar>
              <w:top w:w="80" w:type="dxa"/>
              <w:start w:w="120" w:type="dxa"/>
              <w:bottom w:w="80" w:type="dxa"/>
              <w:end w:w="120" w:type="dxa"/>
            </w:tcMar>
          </w:tcPr>
          <w:p>
            <w:r>
              <w:rPr>
                <w:rFonts w:ascii="Calibri" w:hAnsi="Calibri"/>
                <w:sz w:val="19"/>
              </w:rPr>
              <w:t>3</w:t>
            </w:r>
          </w:p>
        </w:tc>
        <w:tc>
          <w:tcPr>
            <w:tcW w:type="dxa" w:w="4360"/>
            <w:vAlign w:val="center"/>
            <w:tcMar>
              <w:top w:w="80" w:type="dxa"/>
              <w:start w:w="120" w:type="dxa"/>
              <w:bottom w:w="80" w:type="dxa"/>
              <w:end w:w="120" w:type="dxa"/>
            </w:tcMar>
          </w:tcPr>
          <w:p>
            <w:r>
              <w:rPr>
                <w:rFonts w:ascii="Calibri" w:hAnsi="Calibri"/>
                <w:sz w:val="19"/>
              </w:rPr>
              <w:t>Materias primas demo</w:t>
            </w:r>
          </w:p>
        </w:tc>
      </w:tr>
    </w:tbl>
    <w:p>
      <w:pPr>
        <w:spacing w:after="20"/>
      </w:pPr>
    </w:p>
    <w:p>
      <w:pPr>
        <w:pStyle w:val="Código"/>
        <w:keepLines/>
        <w:shd w:fill="F5F7F6"/>
      </w:pPr>
      <w:r>
        <w:rPr>
          <w:rFonts w:ascii="Consolas" w:hAnsi="Consolas"/>
          <w:color w:val="173126"/>
          <w:sz w:val="17"/>
        </w:rPr>
        <w:t>TABLE_NAME</w:t>
        <w:br/>
        <w:t>MATERIA_PRIMA</w:t>
        <w:br/>
        <w:t>PROVEEDOR</w:t>
        <w:br/>
        <w:t>ROL</w:t>
        <w:br/>
        <w:t>USUARIO</w:t>
        <w:br/>
        <w:br/>
        <w:t>ROL             4</w:t>
        <w:br/>
        <w:t>USUARIO         4</w:t>
        <w:br/>
        <w:t>PROVEEDOR       2</w:t>
        <w:br/>
        <w:t>MATERIA_PRIMA   3</w:t>
      </w:r>
    </w:p>
    <w:p>
      <w:pPr>
        <w:pStyle w:val="Heading1"/>
      </w:pPr>
      <w:r>
        <w:t>8. Seguridad implementada</w:t>
      </w:r>
    </w:p>
    <w:p>
      <w:pPr>
        <w:pStyle w:val="ListBullet"/>
      </w:pPr>
      <w:r>
        <w:t>Autenticación mediante tokens JWT con validación de emisor, audiencia, vigencia y firma.</w:t>
      </w:r>
    </w:p>
    <w:p>
      <w:pPr>
        <w:pStyle w:val="ListBullet"/>
      </w:pPr>
      <w:r>
        <w:t>Contraseñas procesadas con BCrypt.Net-Next 4.2.0; no se almacenan en texto plano.</w:t>
      </w:r>
    </w:p>
    <w:p>
      <w:pPr>
        <w:pStyle w:val="ListBullet"/>
      </w:pPr>
      <w:r>
        <w:t>El DTO público de usuarios no contiene PasswordHash ni contraseñas.</w:t>
      </w:r>
    </w:p>
    <w:p>
      <w:pPr>
        <w:pStyle w:val="ListBullet"/>
      </w:pPr>
      <w:r>
        <w:t>Los usuarios inactivos y los usuarios asociados a roles inactivos no pueden iniciar sesión.</w:t>
      </w:r>
    </w:p>
    <w:p>
      <w:pPr>
        <w:pStyle w:val="ListBullet"/>
      </w:pPr>
      <w:r>
        <w:t>La autorización restringe los endpoints administrativos por rol.</w:t>
      </w:r>
    </w:p>
    <w:p>
      <w:pPr>
        <w:pStyle w:val="Código"/>
        <w:keepLines/>
        <w:shd w:fill="F5F7F6"/>
      </w:pPr>
      <w:r>
        <w:rPr>
          <w:rFonts w:ascii="Consolas" w:hAnsi="Consolas"/>
          <w:color w:val="173126"/>
          <w:sz w:val="17"/>
        </w:rPr>
        <w:t>if (user is null || !user.IsActive || user.Role is null || !user.Role.IsActive ||</w:t>
        <w:br/>
        <w:t xml:space="preserve">    !BCrypt.Net.BCrypt.Verify(request.Password, user.PasswordHash)) return null;</w:t>
      </w:r>
    </w:p>
    <w:p>
      <w:pPr>
        <w:pStyle w:val="Heading1"/>
      </w:pPr>
      <w:r>
        <w:t>9. Evidencias de funcionamiento</w:t>
      </w:r>
    </w:p>
    <w:p>
      <w:pPr>
        <w:pStyle w:val="Heading2"/>
      </w:pPr>
      <w:r>
        <w:t>9.1 Compilación</w:t>
      </w:r>
    </w:p>
    <w:p>
      <w:pPr>
        <w:pStyle w:val="Código"/>
        <w:keepLines/>
        <w:shd w:fill="F5F7F6"/>
      </w:pPr>
      <w:r>
        <w:rPr>
          <w:rFonts w:ascii="Consolas" w:hAnsi="Consolas"/>
          <w:color w:val="173126"/>
          <w:sz w:val="17"/>
        </w:rPr>
        <w:t>dotnet build POS\POS.sln</w:t>
        <w:br/>
        <w:t>Compilación correcta.</w:t>
        <w:br/>
        <w:t>0 Advertencia(s)</w:t>
        <w:br/>
        <w:t>0 Errores</w:t>
      </w:r>
    </w:p>
    <w:p>
      <w:pPr>
        <w:pStyle w:val="Heading2"/>
      </w:pPr>
      <w:r>
        <w:t>9.2 Pruebas automatizadas</w:t>
      </w:r>
    </w:p>
    <w:p>
      <w:pPr>
        <w:pStyle w:val="Código"/>
        <w:keepLines/>
        <w:shd w:fill="F5F7F6"/>
      </w:pPr>
      <w:r>
        <w:t>dotnet test POS\POS.Tests\POS.Tests.csproj</w:t>
        <w:br/>
        <w:t>Correctas! - Con error: 0, Superado: 56, Omitido: 0, Total: 56</w:t>
      </w:r>
    </w:p>
    <w:p>
      <w:r>
        <w:t>Las 56 pruebas actuales incluyen login válido, login inválido, usuario y rol inactivos, BCrypt, ausencia de PasswordHash en la API pública y reglas de recepción, inventario, producción, despachos, trazabilidad y reportes.</w:t>
      </w:r>
    </w:p>
    <w:p>
      <w:pPr>
        <w:pStyle w:val="Heading2"/>
      </w:pPr>
      <w:r>
        <w:t>9.3 Aplicación web ejecutándose</w:t>
      </w:r>
    </w:p>
    <w:p>
      <w:pPr>
        <w:jc w:val="center"/>
      </w:pPr>
      <w:r>
        <w:drawing>
          <wp:inline xmlns:a="http://schemas.openxmlformats.org/drawingml/2006/main" xmlns:pic="http://schemas.openxmlformats.org/drawingml/2006/picture">
            <wp:extent cx="5715000" cy="5087744"/>
            <wp:docPr id="1" name="Picture 1"/>
            <wp:cNvGraphicFramePr>
              <a:graphicFrameLocks noChangeAspect="1"/>
            </wp:cNvGraphicFramePr>
            <a:graphic>
              <a:graphicData uri="http://schemas.openxmlformats.org/drawingml/2006/picture">
                <pic:pic>
                  <pic:nvPicPr>
                    <pic:cNvPr id="0" name="Informe_Sprint1_panel.png"/>
                    <pic:cNvPicPr/>
                  </pic:nvPicPr>
                  <pic:blipFill>
                    <a:blip r:embed="rId11"/>
                    <a:stretch>
                      <a:fillRect/>
                    </a:stretch>
                  </pic:blipFill>
                  <pic:spPr>
                    <a:xfrm>
                      <a:off x="0" y="0"/>
                      <a:ext cx="5715000" cy="5087744"/>
                    </a:xfrm>
                    <a:prstGeom prst="rect"/>
                  </pic:spPr>
                </pic:pic>
              </a:graphicData>
            </a:graphic>
          </wp:inline>
        </w:drawing>
      </w:r>
    </w:p>
    <w:p>
      <w:pPr>
        <w:jc w:val="center"/>
      </w:pPr>
      <w:r>
        <w:rPr>
          <w:rFonts w:ascii="Calibri" w:hAnsi="Calibri"/>
          <w:i/>
          <w:color w:val="66756D"/>
          <w:sz w:val="18"/>
        </w:rPr>
        <w:t>Figura 1. Panel principal de Palma Verde ejecutándose en http://localhost:5010/.</w:t>
      </w:r>
    </w:p>
    <w:p>
      <w:pPr>
        <w:pStyle w:val="Heading1"/>
      </w:pPr>
      <w:r>
        <w:t>10. Procedimiento de verificación</w:t>
      </w:r>
    </w:p>
    <w:p>
      <w:pPr>
        <w:pStyle w:val="ListNumber"/>
      </w:pPr>
      <w:r>
        <w:t>Comprobar que el SDK .NET 9 está instalado con dotnet --list-sdks.</w:t>
      </w:r>
    </w:p>
    <w:p>
      <w:pPr>
        <w:pStyle w:val="ListNumber"/>
      </w:pPr>
      <w:r>
        <w:t>Iniciar o verificar la instancia PalmaVerdeLocalDB.</w:t>
      </w:r>
    </w:p>
    <w:p>
      <w:pPr>
        <w:pStyle w:val="ListNumber"/>
      </w:pPr>
      <w:r>
        <w:t>Aplicar las migraciones con dotnet ef database update.</w:t>
      </w:r>
    </w:p>
    <w:p>
      <w:pPr>
        <w:pStyle w:val="ListNumber"/>
      </w:pPr>
      <w:r>
        <w:t>Compilar la solución con dotnet build POS\POS.sln.</w:t>
      </w:r>
    </w:p>
    <w:p>
      <w:pPr>
        <w:pStyle w:val="ListNumber"/>
      </w:pPr>
      <w:r>
        <w:t>Ejecutar POS.Server en http://localhost:5216.</w:t>
      </w:r>
    </w:p>
    <w:p>
      <w:pPr>
        <w:pStyle w:val="ListNumber"/>
      </w:pPr>
      <w:r>
        <w:t>Ejecutar POS.Client en http://localhost:5010.</w:t>
      </w:r>
    </w:p>
    <w:p>
      <w:pPr>
        <w:pStyle w:val="ListNumber"/>
      </w:pPr>
      <w:r>
        <w:t>Iniciar sesión con admin / PalmaVerde2026!.</w:t>
      </w:r>
    </w:p>
    <w:p>
      <w:pPr>
        <w:pStyle w:val="ListNumber"/>
      </w:pPr>
      <w:r>
        <w:t>Comprobar los CRUD de roles, usuarios, proveedores y materias primas.</w:t>
      </w:r>
    </w:p>
    <w:p>
      <w:pPr>
        <w:pStyle w:val="ListNumber"/>
      </w:pPr>
      <w:r>
        <w:t>Ejecutar dotnet test POS\POS.Tests\POS.Tests.csproj y confirmar 56 pruebas superadas.</w:t>
      </w:r>
    </w:p>
    <w:p>
      <w:pPr>
        <w:pStyle w:val="Heading1"/>
      </w:pPr>
      <w:r>
        <w:t>11. Resultados y conclusiones</w:t>
      </w:r>
    </w:p>
    <w:p>
      <w:r>
        <w:t>El ambiente de desarrollo quedó configurado y operativo con .NET 9, ASP.NET Core, Blazor WebAssembly, Entity Framework Core 9.0.19 y SQL Server 2022 LocalDB. La solución presenta una separación clara entre cliente, servidor, contratos compartidos y pruebas.</w:t>
      </w:r>
    </w:p>
    <w:p>
      <w:r>
        <w:t>La conexión de desarrollo utiliza autenticación integrada de Windows, las migraciones se encuentran aplicadas y las cuatro tablas requeridas contienen datos demo. La compilación finalizó sin errores ni advertencias y las 56 pruebas automatizadas fueron superadas.</w:t>
      </w:r>
    </w:p>
    <w:p>
      <w:r>
        <w:t>Como conclusión arquitectónica, el uso de Scoped para AppDbContext, repositorios y servicios de autenticación es más seguro que Singleton en una aplicación web con Entity Framework Core. El patrón Singleton debe reservarse para servicios inmutables, sin estado compartido mutable y sin dependencia de DbContext. Esta decisión mantiene la estabilidad y respeta la arquitectura entregada.</w:t>
      </w:r>
    </w:p>
    <w:p>
      <w:pPr>
        <w:pStyle w:val="Heading1"/>
      </w:pPr>
      <w:r>
        <w:t>12. Observaciones pendientes</w:t>
      </w:r>
    </w:p>
    <w:p>
      <w:pPr>
        <w:pStyle w:val="ListBullet"/>
      </w:pPr>
      <w:r>
        <w:t>La cadena actual es adecuada para desarrollo local; la conexión productiva debe configurarse posteriormente mediante un gestor de secretos.</w:t>
      </w:r>
    </w:p>
    <w:p>
      <w:pPr>
        <w:pStyle w:val="ListBullet"/>
      </w:pPr>
      <w:r>
        <w:t>Cada computadora debe configurar su propia clave JWT mediante User Secrets antes de iniciar POS.Server.</w:t>
      </w:r>
    </w:p>
    <w:p>
      <w:pPr>
        <w:pStyle w:val="ListBullet"/>
      </w:pPr>
      <w:r>
        <w:t>No se modificó la versión de .NET. El repositorio actual contiene también los Sprints 2, 3 y 4, aunque este informe se concentra en la arquitectura base solicitada.</w:t>
      </w:r>
    </w:p>
    <w:p>
      <w:pPr>
        <w:pStyle w:val="ListBullet"/>
      </w:pPr>
      <w:r>
        <w:t>Si la evaluación exige un Singleton explícito, debe acordarse un servicio inmutable apropiado; no debe convertirse AppDbContext ni los repositorios en Singleton.</w:t>
      </w:r>
    </w:p>
    <w:p>
      <w:pPr>
        <w:pStyle w:val="Heading1"/>
      </w:pPr>
      <w:r>
        <w:t>13. Prompts utilizados durante el desarrollo y la verificación</w:t>
      </w:r>
    </w:p>
    <w:p>
      <w:r>
        <w:t>Se utilizaron instrucciones específicas para solicitar apoyo de IA. Los resultados fueron revisados mediante compilación, pruebas automatizadas, migraciones y ejecución local antes de incorporarlos al proyecto.</w:t>
      </w:r>
    </w:p>
    <w:p>
      <w:pPr>
        <w:pStyle w:val="ListBullet"/>
      </w:pPr>
      <w:r>
        <w:t>Analiza la consigna y propone una arquitectura .NET multicapa con Blazor WebAssembly, Web API, proyecto compartido, Entity Framework Core y SQL Server.</w:t>
      </w:r>
    </w:p>
    <w:p>
      <w:pPr>
        <w:pStyle w:val="ListBullet"/>
      </w:pPr>
      <w:r>
        <w:t>Implementa autenticación del lado del servidor con JwtBearer, DTO, repositorios, servicios, inyección de dependencias y contraseñas protegidas con BCrypt.Net-Next.</w:t>
      </w:r>
    </w:p>
    <w:p>
      <w:pPr>
        <w:pStyle w:val="ListBullet"/>
      </w:pPr>
      <w:r>
        <w:t>Revisa que las respuestas públicas de usuarios no expongan PasswordHash y crea pruebas para login válido, login inválido, usuarios inactivos y roles inactivos.</w:t>
      </w:r>
    </w:p>
    <w:p>
      <w:pPr>
        <w:pStyle w:val="ListBullet"/>
      </w:pPr>
      <w:r>
        <w:t>Verifica la versión de .NET, paquetes, migraciones, cadena de conexión, compilación y pruebas sin cambiar automáticamente la versión del proyecto.</w:t>
      </w:r>
    </w:p>
    <w:p>
      <w:pPr>
        <w:pStyle w:val="ListBullet"/>
      </w:pPr>
      <w:r>
        <w:t>Externaliza JwtSettings:SecretKey mediante .NET User Secrets, elimina la clave de appsettings.json y documenta cómo configurarla sin publicarla en Git.</w:t>
      </w:r>
    </w:p>
    <w:p>
      <w:r>
        <w:t>La IA se utilizó como herramienta de apoyo. La selección final de arquitectura, las validaciones de seguridad y la aceptación de los resultados fueron responsabilidad del desarrollador.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56D"/>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56D"/>
        <w:sz w:val="17"/>
      </w:rPr>
      <w:t>PALMA VERDE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before="60" w:after="120" w:line="240" w:lineRule="auto"/>
      <w:ind w:left="259" w:right="259"/>
    </w:pPr>
    <w:rPr>
      <w:rFonts w:ascii="Consolas" w:hAnsi="Consolas"/>
      <w:color w:val="17312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arquitectura y conexión a base de datos - Palma Verde</dc:title>
  <dc:subject>Informe técnico de Sprint 1</dc:subject>
  <dc:creator/>
  <cp:keywords>NET, SQL Server, Entity Framework Core, MVC, arquitectura</cp:keywords>
  <dc:description>generated by python-docx</dc:description>
  <cp:lastModifiedBy/>
  <cp:revision>1</cp:revision>
  <dcterms:created xsi:type="dcterms:W3CDTF">2013-12-23T23:15:00Z</dcterms:created>
  <dcterms:modified xsi:type="dcterms:W3CDTF">2013-12-23T23:15:00Z</dcterms:modified>
  <cp:category/>
</cp:coreProperties>
</file>