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1. GTD ID y fecha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2"/>
        <w:tblW w:w="919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64"/>
        <w:gridCol w:w="3065"/>
        <w:gridCol w:w="3065"/>
      </w:tblGrid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Atributo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Tipo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GTD ID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Identificador único del evento (12 dígitos: YYYYMMDDXXXX).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evenid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Identificador único del evento (12 dígitos: YYYYMMDDXXXX).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iyear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Año en que ocurrió el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imonth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Mes del incidente (1-12; 0 si es desconocido).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iday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Día del incidente (1-31; 0 si es desconocido).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approxdate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Notas sobre la fecha si esta es incierta.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extended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el incidente se extendió por más de 24 horas (1 = Sí, 0 = No).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resolution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Fecha en la que un incidente de larga duración (secuestros, tomas) llegó a su fin.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2. Información sobre el incidente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3"/>
        <w:tblW w:w="919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64"/>
        <w:gridCol w:w="3065"/>
        <w:gridCol w:w="3065"/>
      </w:tblGrid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Atributo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Tipo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summary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Breve resumen narrativo del incidente que incluye la fecha, ubicación, tipo de ataque, objetivo, perpetrador y resultados clave.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crit1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el incidente tuvo como objetivo alcanzar una meta política, económica, religiosa o social.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crit2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hubo evidencia de una intención de coaccionar, intimidar o enviar un mensaje a una audiencia más amplia que las víctimas directas.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crit3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la acción estuvo fuera del contexto de las actividades de guerra legítimas (viola el derecho internacional humanitario).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doubtterr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existe alguna duda sobre si el incidente es realmente un acto de terrorismo según la definición de la GTD.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alternative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Describe la naturaleza de la duda o proporciona una clasificación alternativa para el incidente si no es puramente terrorismo.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shd w:fill="FFF2CC" w:val="clear"/>
              </w:rPr>
            </w:pPr>
            <w:r>
              <w:rPr>
                <w:rFonts w:eastAsia="Times New Roman" w:cs="Times New Roman" w:ascii="Times New Roman" w:hAnsi="Times New Roman"/>
                <w:shd w:fill="FFF2CC" w:val="clear"/>
              </w:rPr>
              <w:t>alternative_txt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multiple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el incidente forma parte de una serie de ataques múltiples conectados que ocurrieron en un periodo corto y misma zona.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related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Lista los ID de los incidentes que están relacionados con el registro actual.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3. Lugar del incidente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4"/>
        <w:tblW w:w="919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64"/>
        <w:gridCol w:w="3065"/>
        <w:gridCol w:w="3065"/>
      </w:tblGrid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Atributo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Tipo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country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numérico del país basado en estándares internacionales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country_txt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País donde ocurrió el evento</w:t>
            </w:r>
          </w:p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region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 la región geográfica mayor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region_txt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 la región geográfica donde ocurrió el incidente terrorista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provstate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 la unidad administrativa subnacional de primer orden (provincia, estado, región)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city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 la ciudad, pueblo o aldea donde ocurrió el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vicinity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el ataque ocurrió fuera de los límites de la ciudad pero cerca de ella.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location details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Información adicional sobre la ubicación del incidente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latitude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Coordenadas de latitud basada en estándares WGS1984 de la ciudad en la que ocurrió el evento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longitude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Coordenadas de la longitud basada en estándares WGS1984 de la ciudad en la que ocurrió el evento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specifity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Nivel de precisión de las coordenadas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4. Información sobre el ataque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5"/>
        <w:tblW w:w="919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64"/>
        <w:gridCol w:w="3065"/>
        <w:gridCol w:w="3065"/>
      </w:tblGrid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Atributo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Tipo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attacktype1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Código numérico (1-9) que identifica el método principal de ataque según la jerarquía de la GTD. 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attacktype1_txt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Descripción textual del método de ataque 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attacktype2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numérico del segundo método de ataque si el incidente involucró una secuencia de eventos.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attacktype2_txt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textual del segundo método de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attacktype3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numérico del tercer método de ataque en incidentes complejos.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attacktype3_txt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</w:rPr>
              <w:t>Descripción textual del tercer método de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success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Define el éxito según los efectos tangibles del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suicide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existe evidencia de que el perpetrador no pretendía escapar con vida del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5. Información sobre el arma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6"/>
        <w:tblW w:w="919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64"/>
        <w:gridCol w:w="3065"/>
        <w:gridCol w:w="3065"/>
      </w:tblGrid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Atributo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Tipo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weaptype1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numérico (1-13) de la categoría del arma principal utilizada.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weaptype1_txt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textual de la categoría del arma principal (ej. Firearms).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weapsubtype1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numérico del subtipo específico del arma principal.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weapsubtype1_txt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textual del subtipo de arma (ej. Automatic Rifle).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weaptype2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 la segunda categoría de arma utilizada, si aplica.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weaptype2_txt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textual de la segunda categoría de arma.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weapsubtype2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del subtipo específico de la segunda arma.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weapsubtype2_txt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textual del segundo subtipo de arma.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weaptype3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 la tercera categoría de arma utilizada, en ataques con gran diversidad de armamento.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weaptype3_txt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textual de la tercera categoría de arma.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weapsubtype3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del subtipo específico de la tercera arma.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weapsubtype3_txt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textual del tercer subtipo de arma.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weaptype4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 la cuarta categoría de arma utilizada, en ataques con gran diversidad de armamento.</w:t>
            </w:r>
          </w:p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weaptype4_txt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textual de la cuarta categoría de arma.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weapsubtype4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del subtipo específico de la cuarta arma.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weapsubtype4_txt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textual del cuarto subtipo de arma.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weapdetail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Campo de texto libre para detalles adicionales como calibres, marcas o descripción del estado del arma.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CLOB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6. Información sobre el  objetivo/víctima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7"/>
        <w:tblW w:w="919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64"/>
        <w:gridCol w:w="3065"/>
        <w:gridCol w:w="3065"/>
      </w:tblGrid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Atributo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Tipo</w:t>
            </w:r>
          </w:p>
        </w:tc>
      </w:tr>
      <w:tr>
        <w:trPr>
          <w:trHeight w:val="730" w:hRule="atLeast"/>
        </w:trPr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targtype1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 la categoría del objetivo principal (1-22).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targtype1_txt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del objetivo (ej. Police, Government).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targsubtype1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del subtipo de objetivo principal.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targsubtype1_txt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del subtipo (ej. Police Checkpoint).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corp1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 la entidad o corporación principal.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target1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Persona o instalación específica atacada.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varchar2(512)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natlty1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 nacionalidad de la víctima principal.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natlty1_txt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 la nacionalidad principal.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targtype2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 la segunda categoría de objetivo.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targtype2_txt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del segundo tipo de objetivo.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targsubtype2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del segundo subtipo de objetivo.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targsubtype2_txt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del segundo subtipo de objetivo.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corp2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 la segunda entidad atacada.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target2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Persona o instalación del segundo objetivo.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varchar2(512)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natlty2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 nacionalidad de la segunda víctima.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natlty2_txt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 la segunda nacionalidad.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targtype3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 la tercera categoría de objetivo.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targtype3_txt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del tercer tipo de objetivo.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targsubtype3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del tercer subtipo de objetivo.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targsubtype3_txt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del tercer subtipo de objetivo.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corp3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 la tercera entidad atacada.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target3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Persona o instalación del tercer objetivo.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varchar2(512)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natlty3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Código de nacionalidad de la tercera víctima.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natlty3_txt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 la tercera nacionalidad.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7. Información del perpetrador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8"/>
        <w:tblW w:w="919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64"/>
        <w:gridCol w:w="3065"/>
        <w:gridCol w:w="3065"/>
      </w:tblGrid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Atributo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Tipo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gname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del grupo u organización que llevó a cabo el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gsubname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Subunidad, facción o nombre específico de la célula del grupo responsable.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gname2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del segundo grupo u organización involucrada en el incidente (si hubo una coalición).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gsubname2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Subunidad o facción específica del segundo grupo involucrado.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gname3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 del tercer grupo u organización involucrada en el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gsubname3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Registrar calificadores o detalles adicionales sobre el segundo grupo perpetrador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nombre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Las convenciones se rigen por el campo "Nombre del subgrupo del perpetrador"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guncertain1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la información reportada por las fuentes sobre el/los grupo(s) perpetrador(es) se basa en especulaciones o en dudosas atribuciones de responsabilidad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guncertain2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Las convenciones siguen el criterio "¿Primer grupo perpetrador sospechoso/no confirmado?"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guncertain3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Las convenciones siguen el criterio "¿Primer grupo perpetrador sospechoso/no confirmado?"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individual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el ataque fue perpetrado por un individuo o por varios individuos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nperps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total de perpetradores que participaron en el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nperpcap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de perpetradores que fueron capturados o detenidos tras el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claimed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un grupo o individuo se atribuyó la responsabilidad del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claimmode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Método o vía utilizada para realizar la atribución del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shd w:fill="FFF2CC" w:val="clear"/>
              </w:rPr>
            </w:pPr>
            <w:r>
              <w:rPr>
                <w:rFonts w:eastAsia="Times New Roman" w:cs="Times New Roman" w:ascii="Times New Roman" w:hAnsi="Times New Roman"/>
                <w:shd w:fill="FFF2CC" w:val="clear"/>
              </w:rPr>
              <w:t>claimmode_txt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Método o vía utilizada para realizar la atribución del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compclaim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hubo atribuciones de responsabilidad contradictorias por parte de diferentes grupos.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claim2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hubo una segunda atribución de responsabilidad por el mismo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claimmode2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Método utilizado en la segunda atribución de responsabilidad.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claim3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hubo una tercera atribución de responsabilidad por el mismo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number(1,0)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claimmode3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Método utilizado en la tercera atribución de responsabilidad.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shd w:fill="FFF2CC" w:val="clear"/>
              </w:rPr>
            </w:pPr>
            <w:r>
              <w:rPr>
                <w:rFonts w:eastAsia="Times New Roman" w:cs="Times New Roman" w:ascii="Times New Roman" w:hAnsi="Times New Roman"/>
                <w:shd w:fill="FFF2CC" w:val="clear"/>
              </w:rPr>
              <w:t>claimmode3_txt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Método utilizado en la tercera atribución de responsabilidad.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motive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Descripción detallada de la motivación específica o el objetivo político/social perseguido con el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CLOB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8. Bajas y consecuencias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9"/>
        <w:tblW w:w="919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64"/>
        <w:gridCol w:w="3065"/>
        <w:gridCol w:w="3065"/>
      </w:tblGrid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Atributo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Tipo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nkill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total de muertes confirmadas en el incidente, incluyendo víctimas y atacantes.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nkillus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de ciudadanos estadounidenses que murieron como resultado del incidente, incluyendo tanto a víctimas como a perpetradores.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nkillter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total de muertes confirmadas de perpetradores en el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nwound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total de heridos no fatales confirmados en el incidente, incluyendo tanto a víctimas como a perpetradores.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nwoundus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de ciudadanos estadounidenses que sufrieron heridas no fatales confirmadas en el incidente, incluyendo tanto a víctimas como a perpetradores.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nwoundte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de perpetradores que sufrieron heridas no fatales confirmadas en el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property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existe evidencia de daños a la propiedad como resultado del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propextent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Si el campo "Property Damage?" es "Yes", esta variable describe la magnitud de los daños materiales causados.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shd w:fill="FFF2CC" w:val="clear"/>
              </w:rPr>
            </w:pPr>
            <w:r>
              <w:rPr>
                <w:rFonts w:eastAsia="Times New Roman" w:cs="Times New Roman" w:ascii="Times New Roman" w:hAnsi="Times New Roman"/>
                <w:shd w:fill="FFF2CC" w:val="clear"/>
              </w:rPr>
              <w:t>propextent_txt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Si el campo "Property Damage?" es "Yes", esta variable describe la magnitud de los daños materiales causados.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propvalue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Si el campo "Property Damage?" es "Yes", se registra el monto exacto en dólares estadounidenses (al momento del incidente) de los daños totales.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propcomment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total de muertes confirmadas en el incidente, incluyendo víctimas y atacantes.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CLOB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ishostkid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Aparece "Yes" si hay evidencia de que se tomaron rehenes o se realizó un secuestro en el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nhostkid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total de rehenes o víctimas de secuestro en el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nhostkidus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de ciudadanos estadounidenses tomados como rehenes o secuestrados.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nhours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Número de horas que los rehenes estuvieron retenidos 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ndays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de días que los rehenes estuvieron retenidos.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divert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un secuestro de vehículo (hijacking) fue desviado de su ruta original.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kidhijcountry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País o ubicación donde los rehenes fueron retenidos o hacia donde fue desviado el vehículo.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ransom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se solicitó un rescate.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ransomamt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Monto exacto del rescate solicitado en dólares estadounidenses.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ransomamtus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Monto del rescate solicitado específicamente a fuentes o ciudadanos de EE. UU.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ransompaid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Monto exacto del rescate que fue finalmente pagado.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ransompaidus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Monto del rescate pagado por fuentes o ciudadanos de EE. UU.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ransomnote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Información adicional o detalles específicos sobre la demanda de rescate.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CLOB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hostkidoutcome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Resultado final para los rehenes o víctimas del secuestro.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shd w:fill="FFF2CC" w:val="clear"/>
              </w:rPr>
            </w:pPr>
            <w:r>
              <w:rPr>
                <w:rFonts w:eastAsia="Times New Roman" w:cs="Times New Roman" w:ascii="Times New Roman" w:hAnsi="Times New Roman"/>
                <w:shd w:fill="FFF2CC" w:val="clear"/>
              </w:rPr>
              <w:t>hostkidoutcome_txt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Resultado final para los rehenes o víctimas del secuestro.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nreleased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Número de rehenes que fueron liberados sanos y salvos (o que escaparon/fueron rescatados).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spacing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9. Información adicional y fuentes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10"/>
        <w:tblW w:w="9194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64"/>
        <w:gridCol w:w="3065"/>
        <w:gridCol w:w="3065"/>
      </w:tblGrid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Atributo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Descripción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Tipo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addnotes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Utilizado para capturar detalles adicionales relevantes sobre el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CLOB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int_log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Indica si el incidente fue de carácter logístico internacional 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int_ideo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Indica si el incidente tuvo una dimensión ideológica internacional 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int_misc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 si existen otros factores misceláneos que sugieran una dimensión internacional en el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int_any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Variable resumen que indica si el incidente tiene cualquier dimensión internacional basada en los tres criterios anteriores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number(38,0)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scite1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Primera fuente de información utilizada para documentar el incidente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CLOB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scite2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Segunda fuente de información que corrobora o añade detalles al incidente.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CLOB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scite3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Tercera fuente de información utilizada para verificar los datos del ataque.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CLOB</w:t>
            </w:r>
          </w:p>
        </w:tc>
      </w:tr>
      <w:tr>
        <w:trPr/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dbsource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Identifica la base de datos original o la colección de datos de la cual se obtuvo el registro del incidente para integrarlo en la GTD.</w:t>
            </w:r>
          </w:p>
        </w:tc>
        <w:tc>
          <w:tcPr>
            <w:tcW w:w="3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varchar2(255)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75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mc:AlternateContent>
        <mc:Choice Requires="wps">
          <w:drawing>
            <wp:inline distT="0" distB="0" distL="0" distR="0">
              <wp:extent cx="5835650" cy="19050"/>
              <wp:effectExtent l="0" t="0" r="0" b="0"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6" name=""/>
                      <wps:cNvSpPr/>
                    </wps:nvSpPr>
                    <wps:spPr>
                      <a:xfrm>
                        <a:off x="0" y="0"/>
                        <a:ext cx="58356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9.4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1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normal1"/>
      <w:widowControl w:val="false"/>
      <w:pBdr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mc:AlternateContent>
        <mc:Choice Requires="wps">
          <w:drawing>
            <wp:inline distT="0" distB="0" distL="0" distR="0">
              <wp:extent cx="5835650" cy="19050"/>
              <wp:effectExtent l="0" t="0" r="0" b="0"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8" name=""/>
                      <wps:cNvSpPr/>
                    </wps:nvSpPr>
                    <wps:spPr>
                      <a:xfrm>
                        <a:off x="0" y="0"/>
                        <a:ext cx="58356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9.4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1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normal1"/>
      <w:widowControl w:val="false"/>
      <w:pBdr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  <w:t>Inteligencia de Negocios</w:t>
    </w:r>
  </w:p>
  <w:p>
    <w:pPr>
      <w:pStyle w:val="normal1"/>
      <w:rPr/>
    </w:pPr>
    <w:r>
      <w:rPr/>
      <mc:AlternateContent>
        <mc:Choice Requires="wps">
          <w:drawing>
            <wp:inline distT="0" distB="0" distL="0" distR="0">
              <wp:extent cx="5835650" cy="19050"/>
              <wp:effectExtent l="0" t="0" r="0" b="0"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2" name=""/>
                      <wps:cNvSpPr/>
                    </wps:nvSpPr>
                    <wps:spPr>
                      <a:xfrm>
                        <a:off x="0" y="0"/>
                        <a:ext cx="58356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9.4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  <w:t>Inteligencia de Negocios</w:t>
    </w:r>
  </w:p>
  <w:p>
    <w:pPr>
      <w:pStyle w:val="normal1"/>
      <w:rPr/>
    </w:pPr>
    <w:r>
      <w:rPr/>
      <mc:AlternateContent>
        <mc:Choice Requires="wps">
          <w:drawing>
            <wp:inline distT="0" distB="0" distL="0" distR="0">
              <wp:extent cx="5835650" cy="19050"/>
              <wp:effectExtent l="0" t="0" r="0" b="0"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4" name=""/>
                      <wps:cNvSpPr/>
                    </wps:nvSpPr>
                    <wps:spPr>
                      <a:xfrm>
                        <a:off x="0" y="0"/>
                        <a:ext cx="58356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9.4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200"/>
    </w:pPr>
    <w:rPr>
      <w:rFonts w:ascii="Times New Roman" w:hAnsi="Times New Roman" w:eastAsia="Times New Roman" w:cs="Times New Roman"/>
      <w:b/>
      <w:bCs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0" w:after="200"/>
      <w:ind w:start="426"/>
    </w:pPr>
    <w:rPr>
      <w:rFonts w:ascii="Times New Roman" w:hAnsi="Times New Roman" w:eastAsia="Times New Roman" w:cs="Times New Roman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0" w:after="200"/>
      <w:ind w:start="426"/>
    </w:pPr>
    <w:rPr>
      <w:rFonts w:ascii="Times New Roman" w:hAnsi="Times New Roman" w:eastAsia="Times New Roman" w:cs="Times New Roman"/>
      <w:sz w:val="30"/>
      <w:szCs w:val="30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0" w:after="80"/>
      <w:jc w:val="center"/>
    </w:pPr>
    <w:rPr>
      <w:rFonts w:ascii="Times New Roman" w:hAnsi="Times New Roman" w:eastAsia="Times New Roman" w:cs="Times New Roman"/>
      <w:i/>
      <w:iCs/>
      <w:color w:val="666666"/>
      <w:sz w:val="20"/>
      <w:szCs w:val="20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iCs/>
      <w:color w:val="666666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jc w:val="center"/>
    </w:pPr>
    <w:rPr>
      <w:rFonts w:ascii="Arial" w:hAnsi="Arial" w:eastAsia="Arial" w:cs="Arial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LibreOffice/26.2.2.2$Linux_X86_64 LibreOffice_project/620$Build-2</Application>
  <AppVersion>15.0000</AppVersion>
  <Pages>14</Pages>
  <Words>1795</Words>
  <Characters>11526</Characters>
  <CharactersWithSpaces>12883</CharactersWithSpaces>
  <Paragraphs>447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2026-04-17T20:32:13Z</dcterms:modified>
  <cp:revision>1</cp:revision>
  <dc:subject/>
  <dc:title/>
</cp:coreProperties>
</file>