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Universidad Nacional de San Agustín de Arequipa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2"/>
          <w:szCs w:val="32"/>
          <w:rtl w:val="0"/>
        </w:rPr>
        <w:t xml:space="preserve">Escuela Profesional de Ciencia de la Computación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Curso: Ingeniería de Software II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99438" cy="213587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438" cy="2135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LABORATORIO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xUnit y Cobertura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Docente: DSc. Edgar Sarmiento Calisaya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Alumno: </w:t>
      </w:r>
      <w:r w:rsidDel="00000000" w:rsidR="00000000" w:rsidRPr="00000000">
        <w:rPr>
          <w:rtl w:val="0"/>
        </w:rPr>
        <w:t xml:space="preserve">Cristhian Luis Taipe Huanca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23 / 10 / 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rPr/>
      </w:pPr>
      <w:r>
        <w:rPr>
          <w:b w:val="1"/>
          <w:bCs w:val="1"/>
          <w:color w:val="366091"/>
          <w:sz w:val="28"/>
          <w:szCs w:val="28"/>
          <w:rtl w:val="0"/>
        </w:rPr>
        <w:t xml:space="preserve">1. Introducción</w:t>
      </w:r>
    </w:p>
    <w:p>
      <w:pPr>
        <w:jc w:val="both"/>
        <w:rPr/>
      </w:pPr>
      <w:r>
        <w:rPr>
          <w:rtl w:val="0"/>
        </w:rPr>
        <w:t xml:space="preserve">El presente informe documenta el Laboratorio 04 del curso Ingeniería de Software II, cuyo objetivo es aplicar pruebas de caja blanca (whitebox testing) sobre el algoritmo de ordenamiento bubbleSort. A partir del código fuente se construye el grafo de flujo de control, se calcula la complejidad ciclomática y se derivan los caminos de ejecución independientes. Cada camino se traduce en un caso de prueba que luego se automatiza con el framework xUnit correspondiente a Python (módulo unittest / PyUnit), midiendo finalmente la cobertura de código alcanzada con la herramienta Coverage.py.</w:t>
      </w:r>
    </w:p>
    <w:p>
      <w:pPr>
        <w:pStyle w:val="Heading1"/>
        <w:rPr/>
      </w:pPr>
      <w:r>
        <w:rPr>
          <w:b w:val="1"/>
          <w:bCs w:val="1"/>
          <w:color w:val="366091"/>
          <w:sz w:val="28"/>
          <w:szCs w:val="28"/>
          <w:rtl w:val="0"/>
        </w:rPr>
        <w:t xml:space="preserve">2. Objetivos</w:t>
      </w:r>
    </w:p>
    <w:p>
      <w:pPr>
        <w:ind w:left="360"/>
        <w:spacing w:after="40"/>
        <w:rPr/>
      </w:pPr>
      <w:r>
        <w:rPr>
          <w:rtl w:val="0"/>
        </w:rPr>
        <w:t xml:space="preserve">• Aplicar técnicas de prueba de caja blanca: grafo de flujo, complejidad ciclomática y caminos independientes.</w:t>
      </w:r>
    </w:p>
    <w:p>
      <w:pPr>
        <w:ind w:left="360"/>
        <w:spacing w:after="40"/>
        <w:rPr/>
      </w:pPr>
      <w:r>
        <w:rPr>
          <w:rtl w:val="0"/>
        </w:rPr>
        <w:t xml:space="preserve">• Implementar casos de prueba unitarios con el framework xUnit (unittest/PyUnit).</w:t>
      </w:r>
    </w:p>
    <w:p>
      <w:pPr>
        <w:ind w:left="360"/>
        <w:spacing w:after="40"/>
        <w:rPr/>
      </w:pPr>
      <w:r>
        <w:rPr>
          <w:rtl w:val="0"/>
        </w:rPr>
        <w:t xml:space="preserve">• Emplear setUp y tearDown, Test Cases y Assertions siguiendo el patrón Arrange–Act–Assert.</w:t>
      </w:r>
    </w:p>
    <w:p>
      <w:pPr>
        <w:ind w:left="360"/>
        <w:spacing w:after="40"/>
        <w:rPr/>
      </w:pPr>
      <w:r>
        <w:rPr>
          <w:rtl w:val="0"/>
        </w:rPr>
        <w:t xml:space="preserve">• Generar el reporte de ejecución de pruebas y el reporte de cobertura de código.</w:t>
      </w:r>
    </w:p>
    <w:p>
      <w:pPr>
        <w:pStyle w:val="Heading1"/>
        <w:rPr/>
      </w:pPr>
      <w:r>
        <w:rPr>
          <w:b w:val="1"/>
          <w:bCs w:val="1"/>
          <w:color w:val="366091"/>
          <w:sz w:val="28"/>
          <w:szCs w:val="28"/>
          <w:rtl w:val="0"/>
        </w:rPr>
        <w:t xml:space="preserve">3. Descripción del problema</w:t>
      </w:r>
    </w:p>
    <w:p>
      <w:pPr>
        <w:jc w:val="both"/>
        <w:rPr/>
      </w:pPr>
      <w:r>
        <w:rPr>
          <w:rtl w:val="0"/>
        </w:rPr>
        <w:t xml:space="preserve">Un desarrollador creó un programa que lee una lista de valores enteros y los ordena en forma ascendente mediante el método de la burbuja (bubbleSort). El pseudocódigo original es el siguiente:</w:t>
      </w:r>
    </w:p>
    <w:tbl>
      <w:tblPr>
        <w:tblW w:type="dxa" w:w="8640"/>
        <w:tblBorders>
          <w:top w:val="single" w:sz="6" w:color="BBBBBB"/>
          <w:left w:val="single" w:sz="6" w:color="BBBBBB"/>
          <w:bottom w:val="single" w:sz="6" w:color="BBBBBB"/>
          <w:right w:val="single" w:sz="6" w:color="BBBBBB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after="40"/>
              <w:rPr/>
            </w:pPr>
            <w:r>
              <w:rPr>
                <w:b w:val="1"/>
                <w:bCs w:val="1"/>
                <w:rFonts w:ascii="Consolas" w:hAnsi="Consolas" w:cs="Consolas"/>
                <w:color w:val="444444"/>
                <w:sz w:val="18"/>
                <w:szCs w:val="18"/>
                <w:rtl w:val="0"/>
              </w:rPr>
              <w:t xml:space="preserve">Pseudocódigo (enunciado)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bubbleSort(int vet[]){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integer i, j, aux;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for (i = tamanho(vet); i &gt;= 2; i--){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for (j = 1; j &lt;= i-1; j++){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if (vet[j] &gt; vet[j+1]){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aux = vet[j];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vet[j] = vet[j+1];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vet[j+1] = aux;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}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}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}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}</w:t>
            </w:r>
          </w:p>
        </w:tc>
      </w:tr>
    </w:tbl>
    <w:p>
      <w:pPr>
        <w:spacing w:after="120"/>
        <w:rPr/>
      </w:pPr>
    </w:p>
    <w:p>
      <w:pPr>
        <w:jc w:val="both"/>
        <w:rPr/>
      </w:pPr>
      <w:r>
        <w:rPr>
          <w:rtl w:val="0"/>
        </w:rPr>
        <w:t xml:space="preserve">Para la implementación se eligió el lenguaje Python (paradigma orientado a objetos en las pruebas) y se separó el código de implementación (bubble_sort.py) del código de pruebas (test_bubble_sort.py).</w:t>
      </w:r>
    </w:p>
    <w:p>
      <w:pPr>
        <w:pStyle w:val="Heading1"/>
        <w:rPr/>
      </w:pPr>
      <w:r>
        <w:rPr>
          <w:b w:val="1"/>
          <w:bCs w:val="1"/>
          <w:color w:val="366091"/>
          <w:sz w:val="28"/>
          <w:szCs w:val="28"/>
          <w:rtl w:val="0"/>
        </w:rPr>
        <w:t xml:space="preserve">4. Especificación de casos de prueba (caja blanca)</w:t>
      </w:r>
    </w:p>
    <w:p>
      <w:pPr>
        <w:pStyle w:val="Heading2"/>
        <w:rPr/>
      </w:pPr>
      <w:r>
        <w:rPr>
          <w:b w:val="1"/>
          <w:bCs w:val="1"/>
          <w:color w:val="4f81bd"/>
          <w:sz w:val="26"/>
          <w:szCs w:val="26"/>
          <w:rtl w:val="0"/>
        </w:rPr>
        <w:t xml:space="preserve">4.1 Diagrama de flujo de control</w:t>
      </w:r>
    </w:p>
    <w:p>
      <w:pPr>
        <w:jc w:val="both"/>
        <w:rPr/>
      </w:pPr>
      <w:r>
        <w:rPr>
          <w:rtl w:val="0"/>
        </w:rPr>
        <w:t xml:space="preserve">El siguiente grafo de flujo de control (CFG) representa las sentencias y decisiones del método bubble_sort. Se identifican tres nodos de decisión: el bucle externo (i ≥ 2), el bucle interno (j ≤ i-1) y la comparación de intercambio (vet[j] &gt; vet[j+1]).</w:t>
      </w:r>
    </w:p>
    <w:p>
      <w:pPr>
        <w:jc w:val="center"/>
        <w:spacing w:before="120" w:after="120"/>
        <w:rPr/>
      </w:pPr>
      <w:r>
        <w:rPr/>
        <w:drawing>
          <wp:inline distB="0" distT="0" distL="0" distR="0">
            <wp:extent cx="2926080" cy="3724101"/>
            <wp:effectExtent b="0" l="0" r="0" t="0"/>
            <wp:docPr id="8" name="cfg.png"/>
            <a:graphic>
              <a:graphicData uri="http://schemas.openxmlformats.org/drawingml/2006/picture">
                <pic:pic>
                  <pic:nvPicPr>
                    <pic:cNvPr id="0" name="cfg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724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Figura 1. Grafo de flujo de control del método bubble_sort.</w:t>
      </w:r>
    </w:p>
    <w:p>
      <w:pPr>
        <w:pStyle w:val="Heading2"/>
        <w:rPr/>
      </w:pPr>
      <w:r>
        <w:rPr>
          <w:b w:val="1"/>
          <w:bCs w:val="1"/>
          <w:color w:val="4f81bd"/>
          <w:sz w:val="26"/>
          <w:szCs w:val="26"/>
          <w:rtl w:val="0"/>
        </w:rPr>
        <w:t xml:space="preserve">4.2 Complejidad ciclomática</w:t>
      </w:r>
    </w:p>
    <w:p>
      <w:pPr>
        <w:jc w:val="both"/>
        <w:rPr/>
      </w:pPr>
      <w:r>
        <w:rPr>
          <w:rtl w:val="0"/>
        </w:rPr>
        <w:t xml:space="preserve">A partir del grafo se contabilizan N = 7 nodos, E = 9 aristas y P = 3 nodos predicado (decisiones). La complejidad ciclomática V(G) se calcula mediante las tres fórmulas equivalentes:</w:t>
      </w:r>
    </w:p>
    <w:tbl>
      <w:tblPr>
        <w:tblW w:type="dxa" w:w="864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240"/>
        <w:gridCol w:w="3400"/>
        <w:gridCol w:w="2000"/>
      </w:tblGrid>
      <w:tr>
        <w:trPr>
          <w:tblHeader/>
        </w:trPr>
        <w:tc>
          <w:tcPr>
            <w:tcW w:type="dxa" w:w="324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Fórmula</w:t>
            </w:r>
          </w:p>
        </w:tc>
        <w:tc>
          <w:tcPr>
            <w:tcW w:type="dxa" w:w="340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Cálculo</w:t>
            </w:r>
          </w:p>
        </w:tc>
        <w:tc>
          <w:tcPr>
            <w:tcW w:type="dxa" w:w="200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V(G)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V(G) = E − N + 2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9 − 7 + 2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V(G) = P + 1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3 + 1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Regiones del grafo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4 regiones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4</w:t>
            </w:r>
          </w:p>
        </w:tc>
      </w:tr>
    </w:tbl>
    <w:p>
      <w:pPr>
        <w:spacing w:after="120"/>
        <w:rPr/>
      </w:pPr>
    </w:p>
    <w:p>
      <w:pPr>
        <w:jc w:val="both"/>
        <w:rPr/>
      </w:pPr>
      <w:r>
        <w:rPr>
          <w:rtl w:val="0"/>
        </w:rPr>
        <w:t xml:space="preserve">El valor obtenido es </w:t>
      </w:r>
      <w:r>
        <w:rPr>
          <w:b w:val="1"/>
          <w:bCs w:val="1"/>
          <w:rtl w:val="0"/>
        </w:rPr>
        <w:t xml:space="preserve">V(G) = 4</w:t>
      </w:r>
      <w:r>
        <w:rPr>
          <w:rtl w:val="0"/>
        </w:rPr>
        <w:t xml:space="preserve">, por lo que existen 4 caminos de ejecución independientes y se requieren al menos 4 casos de prueba para cubrir la lógica de decisión del algoritmo.</w:t>
      </w:r>
    </w:p>
    <w:p>
      <w:pPr>
        <w:pStyle w:val="Heading2"/>
        <w:rPr/>
      </w:pPr>
      <w:r>
        <w:rPr>
          <w:b w:val="1"/>
          <w:bCs w:val="1"/>
          <w:color w:val="4f81bd"/>
          <w:sz w:val="26"/>
          <w:szCs w:val="26"/>
          <w:rtl w:val="0"/>
        </w:rPr>
        <w:t xml:space="preserve">4.3 Caminos de ejecución independientes</w:t>
      </w:r>
    </w:p>
    <w:p>
      <w:pPr>
        <w:jc w:val="both"/>
        <w:rPr/>
      </w:pPr>
      <w:r>
        <w:rPr>
          <w:rtl w:val="0"/>
        </w:rPr>
        <w:t xml:space="preserve">Aplicando una estrategia de cobertura de decisiones + condición simple, el conjunto base de caminos independientes es:</w:t>
      </w:r>
    </w:p>
    <w:p>
      <w:pPr>
        <w:ind w:left="360"/>
        <w:spacing w:after="40"/>
        <w:rPr/>
      </w:pPr>
      <w:r>
        <w:rPr>
          <w:rtl w:val="0"/>
        </w:rPr>
        <w:t xml:space="preserve">• Camino 1: la lista tiene menos de 2 elementos → el bucle externo no se ejecuta (i ≥ 2 falso).</w:t>
      </w:r>
    </w:p>
    <w:p>
      <w:pPr>
        <w:ind w:left="360"/>
        <w:spacing w:after="40"/>
        <w:rPr/>
      </w:pPr>
      <w:r>
        <w:rPr>
          <w:rtl w:val="0"/>
        </w:rPr>
        <w:t xml:space="preserve">• Camino 2: se entra a ambos bucles pero la condición de intercambio es siempre falsa (lista ya ordenada).</w:t>
      </w:r>
    </w:p>
    <w:p>
      <w:pPr>
        <w:ind w:left="360"/>
        <w:spacing w:after="40"/>
        <w:rPr/>
      </w:pPr>
      <w:r>
        <w:rPr>
          <w:rtl w:val="0"/>
        </w:rPr>
        <w:t xml:space="preserve">• Camino 3: la condición de intercambio es verdadera al menos una vez (se ejecuta el swap).</w:t>
      </w:r>
    </w:p>
    <w:p>
      <w:pPr>
        <w:ind w:left="360"/>
        <w:spacing w:after="40"/>
        <w:rPr/>
      </w:pPr>
      <w:r>
        <w:rPr>
          <w:rtl w:val="0"/>
        </w:rPr>
        <w:t xml:space="preserve">• Camino 4: múltiples pasadas con varios intercambios (caso general con lista desordenada).</w:t>
      </w:r>
    </w:p>
    <w:p>
      <w:pPr>
        <w:pStyle w:val="Heading2"/>
        <w:rPr/>
      </w:pPr>
      <w:r>
        <w:rPr>
          <w:b w:val="1"/>
          <w:bCs w:val="1"/>
          <w:color w:val="4f81bd"/>
          <w:sz w:val="26"/>
          <w:szCs w:val="26"/>
          <w:rtl w:val="0"/>
        </w:rPr>
        <w:t xml:space="preserve">4.4 Casos de prueba identificados</w:t>
      </w:r>
    </w:p>
    <w:tbl>
      <w:tblPr>
        <w:tblW w:type="dxa" w:w="864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00"/>
        <w:gridCol w:w="3540"/>
        <w:gridCol w:w="1900"/>
        <w:gridCol w:w="2300"/>
      </w:tblGrid>
      <w:tr>
        <w:trPr>
          <w:tblHeader/>
        </w:trPr>
        <w:tc>
          <w:tcPr>
            <w:tcW w:type="dxa" w:w="90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CP</w:t>
            </w:r>
          </w:p>
        </w:tc>
        <w:tc>
          <w:tcPr>
            <w:tcW w:type="dxa" w:w="354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Camino en el Grafo</w:t>
            </w:r>
          </w:p>
        </w:tc>
        <w:tc>
          <w:tcPr>
            <w:tcW w:type="dxa" w:w="190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Valores de Prueba</w:t>
            </w:r>
          </w:p>
        </w:tc>
        <w:tc>
          <w:tcPr>
            <w:tcW w:type="dxa" w:w="230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CP1</w:t>
            </w:r>
          </w:p>
        </w:tc>
        <w:tc>
          <w:tcPr>
            <w:tcW w:type="dxa" w:w="354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Inicio → (i≥2: No) → Fin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[42]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[42]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CP2</w:t>
            </w:r>
          </w:p>
        </w:tc>
        <w:tc>
          <w:tcPr>
            <w:tcW w:type="dxa" w:w="354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Inicio → i≥2:Sí → j≤i-1:Sí → if:No → … → Fin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[10, 20, 30]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[10, 20, 30]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CP3</w:t>
            </w:r>
          </w:p>
        </w:tc>
        <w:tc>
          <w:tcPr>
            <w:tcW w:type="dxa" w:w="354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Inicio → i≥2:Sí → j≤i-1:Sí → if:Sí → swap → … → Fin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[20, 10]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[10, 20]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CP4</w:t>
            </w:r>
          </w:p>
        </w:tc>
        <w:tc>
          <w:tcPr>
            <w:tcW w:type="dxa" w:w="354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Recorrido completo con varias pasadas e intercambios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[5, 1, 4, 2, 8]</w:t>
            </w:r>
          </w:p>
        </w:tc>
        <w:tc>
          <w:tcPr>
            <w:tcW w:type="dxa" w:w="230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[1, 2, 4, 5, 8]</w:t>
            </w:r>
          </w:p>
        </w:tc>
      </w:tr>
    </w:tbl>
    <w:p>
      <w:pPr>
        <w:spacing w:after="120"/>
        <w:rPr/>
      </w:pPr>
    </w:p>
    <w:p>
      <w:pPr>
        <w:pStyle w:val="Heading1"/>
        <w:rPr/>
      </w:pPr>
      <w:r>
        <w:rPr>
          <w:b w:val="1"/>
          <w:bCs w:val="1"/>
          <w:color w:val="366091"/>
          <w:sz w:val="28"/>
          <w:szCs w:val="28"/>
          <w:rtl w:val="0"/>
        </w:rPr>
        <w:t xml:space="preserve">5. Implementación con xUnit</w:t>
      </w:r>
    </w:p>
    <w:p>
      <w:pPr>
        <w:jc w:val="both"/>
        <w:rPr/>
      </w:pPr>
      <w:r>
        <w:rPr>
          <w:rtl w:val="0"/>
        </w:rPr>
        <w:t xml:space="preserve">Se utilizó el framework </w:t>
      </w:r>
      <w:r>
        <w:rPr>
          <w:b w:val="1"/>
          <w:bCs w:val="1"/>
          <w:rtl w:val="0"/>
        </w:rPr>
        <w:t xml:space="preserve">unittest (PyUnit)</w:t>
      </w:r>
      <w:r>
        <w:rPr>
          <w:rtl w:val="0"/>
        </w:rPr>
        <w:t xml:space="preserve">, la implementación del estándar xUnit para Python, y la herramienta </w:t>
      </w:r>
      <w:r>
        <w:rPr>
          <w:b w:val="1"/>
          <w:bCs w:val="1"/>
          <w:rtl w:val="0"/>
        </w:rPr>
        <w:t xml:space="preserve">Coverage.py</w:t>
      </w:r>
      <w:r>
        <w:rPr>
          <w:rtl w:val="0"/>
        </w:rPr>
        <w:t xml:space="preserve"> para el reporte de cobertura. La dependencia se gestiona vía requirements.txt (coverage) en un entorno virtual.</w:t>
      </w:r>
    </w:p>
    <w:p>
      <w:pPr>
        <w:pStyle w:val="Heading2"/>
        <w:rPr/>
      </w:pPr>
      <w:r>
        <w:rPr>
          <w:b w:val="1"/>
          <w:bCs w:val="1"/>
          <w:color w:val="4f81bd"/>
          <w:sz w:val="26"/>
          <w:szCs w:val="26"/>
          <w:rtl w:val="0"/>
        </w:rPr>
        <w:t xml:space="preserve">5.1 Código bajo prueba (bubble_sort.py)</w:t>
      </w:r>
    </w:p>
    <w:tbl>
      <w:tblPr>
        <w:tblW w:type="dxa" w:w="8640"/>
        <w:tblBorders>
          <w:top w:val="single" w:sz="6" w:color="BBBBBB"/>
          <w:left w:val="single" w:sz="6" w:color="BBBBBB"/>
          <w:bottom w:val="single" w:sz="6" w:color="BBBBBB"/>
          <w:right w:val="single" w:sz="6" w:color="BBBBBB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after="40"/>
              <w:rPr/>
            </w:pPr>
            <w:r>
              <w:rPr>
                <w:b w:val="1"/>
                <w:bCs w:val="1"/>
                <w:rFonts w:ascii="Consolas" w:hAnsi="Consolas" w:cs="Consolas"/>
                <w:color w:val="444444"/>
                <w:sz w:val="18"/>
                <w:szCs w:val="18"/>
                <w:rtl w:val="0"/>
              </w:rPr>
              <w:t xml:space="preserve">bubble_sort.py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def bubble_sort(vet: list[int]) -&gt; list[int]: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n = len(vet)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/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for i in range(n, 1, -1):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for j in range(0, i - 1):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    if vet[j] &gt; vet[j + 1]: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        aux = vet[j]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        vet[j] = vet[j + 1]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        vet[j + 1] = aux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/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return vet</w:t>
            </w:r>
          </w:p>
        </w:tc>
      </w:tr>
    </w:tbl>
    <w:p>
      <w:pPr>
        <w:spacing w:after="120"/>
        <w:rPr/>
      </w:pPr>
    </w:p>
    <w:p>
      <w:pPr>
        <w:pStyle w:val="Heading2"/>
        <w:rPr/>
      </w:pPr>
      <w:r>
        <w:rPr>
          <w:b w:val="1"/>
          <w:bCs w:val="1"/>
          <w:color w:val="4f81bd"/>
          <w:sz w:val="26"/>
          <w:szCs w:val="26"/>
          <w:rtl w:val="0"/>
        </w:rPr>
        <w:t xml:space="preserve">5.2 Suite de pruebas (test_bubble_sort.py)</w:t>
      </w:r>
    </w:p>
    <w:p>
      <w:pPr>
        <w:jc w:val="both"/>
        <w:rPr/>
      </w:pPr>
      <w:r>
        <w:rPr>
          <w:rtl w:val="0"/>
        </w:rPr>
        <w:t xml:space="preserve">La suite emplea setUp y tearDown, cuatro Test Cases (uno por camino independiente) y Assertions siguiendo el patrón Arrange–Act–Assert:</w:t>
      </w:r>
    </w:p>
    <w:tbl>
      <w:tblPr>
        <w:tblW w:type="dxa" w:w="8640"/>
        <w:tblBorders>
          <w:top w:val="single" w:sz="6" w:color="BBBBBB"/>
          <w:left w:val="single" w:sz="6" w:color="BBBBBB"/>
          <w:bottom w:val="single" w:sz="6" w:color="BBBBBB"/>
          <w:right w:val="single" w:sz="6" w:color="BBBBBB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after="40"/>
              <w:rPr/>
            </w:pPr>
            <w:r>
              <w:rPr>
                <w:b w:val="1"/>
                <w:bCs w:val="1"/>
                <w:rFonts w:ascii="Consolas" w:hAnsi="Consolas" w:cs="Consolas"/>
                <w:color w:val="444444"/>
                <w:sz w:val="18"/>
                <w:szCs w:val="18"/>
                <w:rtl w:val="0"/>
              </w:rPr>
              <w:t xml:space="preserve">test_bubble_sort.py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import unittest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from bubble_sort import bubble_sort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/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class TestBubbleSort(unittest.TestCase):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/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def setUp(self):          # Arrange global (antes de cada prueba)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self.resultado = None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/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def tearDown(self):       # Limpieza (despues de cada prueba)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self.resultado = None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/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def test_cp1_lista_un_elemento(self):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lista = [42]; esperado = [42]              # Arrange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self.resultado = bubble_sort(lista)        # Act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self.assertEqual(self.resultado, esperado) # Assert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/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def test_cp2_lista_ya_ordenada(self):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lista = [10, 20, 30]; esperado = [10, 20, 30]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self.resultado = bubble_sort(lista)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self.assertEqual(self.resultado, esperado)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/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def test_cp3_un_solo_intercambio(self):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lista = [20, 10]; esperado = [10, 20]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self.resultado = bubble_sort(lista)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self.assertEqual(self.resultado, esperado)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/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def test_cp4_lista_desordenada(self):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lista = [5, 1, 4, 2, 8]; esperado = [1, 2, 4, 5, 8]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self.resultado = bubble_sort(lista)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    self.assertEqual(self.resultado, esperado)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/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if __name__ == "__main__":</w:t>
            </w:r>
          </w:p>
          <w:p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rtl w:val="0"/>
              </w:rPr>
              <w:t xml:space="preserve">    unittest.main()</w:t>
            </w:r>
          </w:p>
        </w:tc>
      </w:tr>
    </w:tbl>
    <w:p>
      <w:pPr>
        <w:spacing w:after="120"/>
        <w:rPr/>
      </w:pPr>
    </w:p>
    <w:p>
      <w:pPr>
        <w:pStyle w:val="Heading1"/>
        <w:rPr/>
      </w:pPr>
      <w:r>
        <w:rPr>
          <w:b w:val="1"/>
          <w:bCs w:val="1"/>
          <w:color w:val="366091"/>
          <w:sz w:val="28"/>
          <w:szCs w:val="28"/>
          <w:rtl w:val="0"/>
        </w:rPr>
        <w:t xml:space="preserve">6. Resultados</w:t>
      </w:r>
    </w:p>
    <w:p>
      <w:pPr>
        <w:pStyle w:val="Heading2"/>
        <w:rPr/>
      </w:pPr>
      <w:r>
        <w:rPr>
          <w:b w:val="1"/>
          <w:bCs w:val="1"/>
          <w:color w:val="4f81bd"/>
          <w:sz w:val="26"/>
          <w:szCs w:val="26"/>
          <w:rtl w:val="0"/>
        </w:rPr>
        <w:t xml:space="preserve">6.1 Reporte de ejecución de pruebas</w:t>
      </w:r>
    </w:p>
    <w:p>
      <w:pPr>
        <w:jc w:val="both"/>
        <w:rPr/>
      </w:pPr>
      <w:r>
        <w:rPr>
          <w:rtl w:val="0"/>
        </w:rPr>
        <w:t xml:space="preserve">Las cuatro pruebas se ejecutaron con unittest en modo verboso. El resultado fue PASÓ (OK) en los cuatro casos:</w:t>
      </w:r>
    </w:p>
    <w:p>
      <w:pPr>
        <w:jc w:val="center"/>
        <w:spacing w:before="120" w:after="120"/>
        <w:rPr/>
      </w:pPr>
      <w:r>
        <w:rPr/>
        <w:drawing>
          <wp:inline distB="0" distT="0" distL="0" distR="0">
            <wp:extent cx="5486400" cy="2728762"/>
            <wp:effectExtent b="0" l="0" r="0" t="0"/>
            <wp:docPr id="9" name="shot_exec.png"/>
            <a:graphic>
              <a:graphicData uri="http://schemas.openxmlformats.org/drawingml/2006/picture">
                <pic:pic>
                  <pic:nvPicPr>
                    <pic:cNvPr id="0" name="shot_exec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Figura 2. Reporte de ejecución de pruebas (4/4 OK).</w:t>
      </w:r>
    </w:p>
    <w:tbl>
      <w:tblPr>
        <w:tblW w:type="dxa" w:w="864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00"/>
        <w:gridCol w:w="3740"/>
        <w:gridCol w:w="2200"/>
        <w:gridCol w:w="1800"/>
      </w:tblGrid>
      <w:tr>
        <w:trPr>
          <w:tblHeader/>
        </w:trPr>
        <w:tc>
          <w:tcPr>
            <w:tcW w:type="dxa" w:w="90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CP</w:t>
            </w:r>
          </w:p>
        </w:tc>
        <w:tc>
          <w:tcPr>
            <w:tcW w:type="dxa" w:w="374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prueba</w:t>
            </w:r>
          </w:p>
        </w:tc>
        <w:tc>
          <w:tcPr>
            <w:tcW w:type="dxa" w:w="220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obtenido</w:t>
            </w:r>
          </w:p>
        </w:tc>
        <w:tc>
          <w:tcPr>
            <w:tcW w:type="dxa" w:w="180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CP1</w:t>
            </w:r>
          </w:p>
        </w:tc>
        <w:tc>
          <w:tcPr>
            <w:tcW w:type="dxa" w:w="374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Lista de un elemento [42]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[42]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PASÓ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CP2</w:t>
            </w:r>
          </w:p>
        </w:tc>
        <w:tc>
          <w:tcPr>
            <w:tcW w:type="dxa" w:w="374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Lista ya ordenada [10, 20, 30]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[10, 20, 30]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PASÓ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CP3</w:t>
            </w:r>
          </w:p>
        </w:tc>
        <w:tc>
          <w:tcPr>
            <w:tcW w:type="dxa" w:w="374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Un solo intercambio [20, 10]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[10, 20]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PASÓ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CP4</w:t>
            </w:r>
          </w:p>
        </w:tc>
        <w:tc>
          <w:tcPr>
            <w:tcW w:type="dxa" w:w="374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Lista desordenada [5, 1, 4, 2, 8]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[1, 2, 4, 5, 8]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PASÓ</w:t>
            </w:r>
          </w:p>
        </w:tc>
      </w:tr>
    </w:tbl>
    <w:p>
      <w:pPr>
        <w:spacing w:after="120"/>
        <w:rPr/>
      </w:pPr>
    </w:p>
    <w:p>
      <w:pPr>
        <w:pStyle w:val="Heading2"/>
        <w:rPr/>
      </w:pPr>
      <w:r>
        <w:rPr>
          <w:b w:val="1"/>
          <w:bCs w:val="1"/>
          <w:color w:val="4f81bd"/>
          <w:sz w:val="26"/>
          <w:szCs w:val="26"/>
          <w:rtl w:val="0"/>
        </w:rPr>
        <w:t xml:space="preserve">6.2 Reporte de cobertura de código</w:t>
      </w:r>
    </w:p>
    <w:p>
      <w:pPr>
        <w:jc w:val="both"/>
        <w:rPr/>
      </w:pPr>
      <w:r>
        <w:rPr>
          <w:rtl w:val="0"/>
        </w:rPr>
        <w:t xml:space="preserve">Con Coverage.py (en modo </w:t>
      </w:r>
      <w:r>
        <w:rPr>
          <w:i w:val="1"/>
          <w:iCs w:val="1"/>
          <w:rtl w:val="0"/>
        </w:rPr>
        <w:t xml:space="preserve">--branch</w:t>
      </w:r>
      <w:r>
        <w:rPr>
          <w:rtl w:val="0"/>
        </w:rPr>
        <w:t xml:space="preserve">) se obtuvo </w:t>
      </w:r>
      <w:r>
        <w:rPr>
          <w:b w:val="1"/>
          <w:bCs w:val="1"/>
          <w:rtl w:val="0"/>
        </w:rPr>
        <w:t xml:space="preserve">100% de cobertura</w:t>
      </w:r>
      <w:r>
        <w:rPr>
          <w:rtl w:val="0"/>
        </w:rPr>
        <w:t xml:space="preserve"> de sentencias y de ramas sobre bubble_sort.py: las 9 sentencias y las 6 ramas fueron ejecutadas por los casos de prueba.</w:t>
      </w:r>
    </w:p>
    <w:p>
      <w:pPr>
        <w:jc w:val="center"/>
        <w:spacing w:before="120" w:after="120"/>
        <w:rPr/>
      </w:pPr>
      <w:r>
        <w:rPr/>
        <w:drawing>
          <wp:inline distB="0" distT="0" distL="0" distR="0">
            <wp:extent cx="5486400" cy="1813560"/>
            <wp:effectExtent b="0" l="0" r="0" t="0"/>
            <wp:docPr id="10" name="shot_cov.png"/>
            <a:graphic>
              <a:graphicData uri="http://schemas.openxmlformats.org/drawingml/2006/picture">
                <pic:pic>
                  <pic:nvPicPr>
                    <pic:cNvPr id="0" name="shot_cov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Figura 3. Resumen de cobertura por terminal (coverage report -m).</w:t>
      </w:r>
    </w:p>
    <w:p>
      <w:pPr>
        <w:jc w:val="center"/>
        <w:spacing w:before="120" w:after="120"/>
        <w:rPr/>
      </w:pPr>
      <w:r>
        <w:rPr/>
        <w:drawing>
          <wp:inline distB="0" distT="0" distL="0" distR="0">
            <wp:extent cx="5486400" cy="2636520"/>
            <wp:effectExtent b="0" l="0" r="0" t="0"/>
            <wp:docPr id="11" name="shot_src.png"/>
            <a:graphic>
              <a:graphicData uri="http://schemas.openxmlformats.org/drawingml/2006/picture">
                <pic:pic>
                  <pic:nvPicPr>
                    <pic:cNvPr id="0" name="shot_src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Figura 4. Vista de cobertura línea por línea (reporte HTML de Coverage.py): todas las líneas ejecutadas.</w:t>
      </w:r>
    </w:p>
    <w:tbl>
      <w:tblPr>
        <w:tblW w:type="dxa" w:w="864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840"/>
        <w:gridCol w:w="1500"/>
        <w:gridCol w:w="1700"/>
        <w:gridCol w:w="1200"/>
        <w:gridCol w:w="1400"/>
      </w:tblGrid>
      <w:tr>
        <w:trPr>
          <w:tblHeader/>
        </w:trPr>
        <w:tc>
          <w:tcPr>
            <w:tcW w:type="dxa" w:w="284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Archivo</w:t>
            </w:r>
          </w:p>
        </w:tc>
        <w:tc>
          <w:tcPr>
            <w:tcW w:type="dxa" w:w="150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Sentencias</w:t>
            </w:r>
          </w:p>
        </w:tc>
        <w:tc>
          <w:tcPr>
            <w:tcW w:type="dxa" w:w="170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cubiertas</w:t>
            </w:r>
          </w:p>
        </w:tc>
        <w:tc>
          <w:tcPr>
            <w:tcW w:type="dxa" w:w="120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Ramas</w:t>
            </w:r>
          </w:p>
        </w:tc>
        <w:tc>
          <w:tcPr>
            <w:tcW w:type="dxa" w:w="1400"/>
            <w:shd w:val="clear" w:color="auto" w:fill="4f81bd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Cobertura</w:t>
            </w:r>
          </w:p>
        </w:tc>
      </w:tr>
      <w:tr>
        <w:tc>
          <w:tcPr>
            <w:tcW w:type="dxa" w:w="2840"/>
            <w:vAlign w:val="center"/>
          </w:tcPr>
          <w:p>
            <w:pPr>
              <w:jc w:val="left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bubble_sort.py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sz w:val="20"/>
                <w:szCs w:val="20"/>
                <w:rtl w:val="0"/>
              </w:rPr>
              <w:t xml:space="preserve">100%</w:t>
            </w:r>
          </w:p>
        </w:tc>
      </w:tr>
    </w:tbl>
    <w:p>
      <w:pPr>
        <w:spacing w:after="120"/>
        <w:rPr/>
      </w:pPr>
    </w:p>
    <w:p>
      <w:pPr>
        <w:jc w:val="both"/>
        <w:rPr/>
      </w:pPr>
      <w:r>
        <w:rPr>
          <w:rtl w:val="0"/>
        </w:rPr>
        <w:t xml:space="preserve">Nota: el archivo de pruebas test_bubble_sort.py reporta 94% únicamente por la guarda "if __name__ == '__main__'", línea no ejecutada al correr bajo el runner; el código bajo prueba alcanza 100%.</w:t>
      </w:r>
    </w:p>
    <w:p>
      <w:pPr>
        <w:pStyle w:val="Heading1"/>
        <w:rPr/>
      </w:pPr>
      <w:r>
        <w:rPr>
          <w:b w:val="1"/>
          <w:bCs w:val="1"/>
          <w:color w:val="366091"/>
          <w:sz w:val="28"/>
          <w:szCs w:val="28"/>
          <w:rtl w:val="0"/>
        </w:rPr>
        <w:t xml:space="preserve">7. Conclusiones</w:t>
      </w:r>
    </w:p>
    <w:p>
      <w:pPr>
        <w:ind w:left="360"/>
        <w:spacing w:after="40"/>
        <w:rPr/>
      </w:pPr>
      <w:r>
        <w:rPr>
          <w:rtl w:val="0"/>
        </w:rPr>
        <w:t xml:space="preserve">• La complejidad ciclomática V(G) = 4 determinó exactamente el número de casos de prueba necesarios para cubrir la lógica de decisión.</w:t>
      </w:r>
    </w:p>
    <w:p>
      <w:pPr>
        <w:ind w:left="360"/>
        <w:spacing w:after="40"/>
        <w:rPr/>
      </w:pPr>
      <w:r>
        <w:rPr>
          <w:rtl w:val="0"/>
        </w:rPr>
        <w:t xml:space="preserve">• Los cuatro casos derivados de los caminos independientes se automatizaron con xUnit (unittest) y todos pasaron (4/4 OK).</w:t>
      </w:r>
    </w:p>
    <w:p>
      <w:pPr>
        <w:ind w:left="360"/>
        <w:spacing w:after="40"/>
        <w:rPr/>
      </w:pPr>
      <w:r>
        <w:rPr>
          <w:rtl w:val="0"/>
        </w:rPr>
        <w:t xml:space="preserve">• La cobertura de código alcanzó el 100% de sentencias y ramas en bubble_sort.py, confirmando que los caminos independientes ejercitan toda la lógica.</w:t>
      </w:r>
    </w:p>
    <w:p>
      <w:pPr>
        <w:ind w:left="360"/>
        <w:spacing w:after="40"/>
        <w:rPr/>
      </w:pPr>
      <w:r>
        <w:rPr>
          <w:rtl w:val="0"/>
        </w:rPr>
        <w:t xml:space="preserve">• El flujo caja blanca (grafo → complejidad → caminos → casos) resultó efectivo y reproducible mediante herramientas abiertas (unittest y Coverage.py).</w:t>
      </w:r>
    </w:p>
    <w:p>
      <w:pPr>
        <w:pStyle w:val="Heading1"/>
        <w:rPr/>
      </w:pPr>
      <w:r>
        <w:rPr>
          <w:b w:val="1"/>
          <w:bCs w:val="1"/>
          <w:color w:val="366091"/>
          <w:sz w:val="28"/>
          <w:szCs w:val="28"/>
          <w:rtl w:val="0"/>
        </w:rPr>
        <w:t xml:space="preserve">8. Entregables y referencias</w:t>
      </w:r>
    </w:p>
    <w:p>
      <w:pPr>
        <w:ind w:left="360"/>
        <w:spacing w:after="40"/>
        <w:rPr/>
      </w:pPr>
      <w:r>
        <w:rPr>
          <w:rtl w:val="0"/>
        </w:rPr>
        <w:t xml:space="preserve">• Especificación de casos de prueba: grafo de flujo, complejidad ciclomática y tabla CP1–CP4 (secciones 4.1–4.4).</w:t>
      </w:r>
    </w:p>
    <w:p>
      <w:pPr>
        <w:ind w:left="360"/>
        <w:spacing w:after="40"/>
        <w:rPr/>
      </w:pPr>
      <w:r>
        <w:rPr>
          <w:rtl w:val="0"/>
        </w:rPr>
        <w:t xml:space="preserve">• Implementación: bubble_sort.py y test_bubble_sort.py (proyecto a publicar en GitHub).</w:t>
      </w:r>
    </w:p>
    <w:p>
      <w:pPr>
        <w:ind w:left="360"/>
        <w:spacing w:after="40"/>
        <w:rPr/>
      </w:pPr>
      <w:r>
        <w:rPr>
          <w:rtl w:val="0"/>
        </w:rPr>
        <w:t xml:space="preserve">• Reporte de ejecución de pruebas: Figura 2 (unittest -v).</w:t>
      </w:r>
    </w:p>
    <w:p>
      <w:pPr>
        <w:ind w:left="360"/>
        <w:spacing w:after="40"/>
        <w:rPr/>
      </w:pPr>
      <w:r>
        <w:rPr>
          <w:rtl w:val="0"/>
        </w:rPr>
        <w:t xml:space="preserve">• Reporte de cobertura de código: Figuras 3 y 4 y reporte HTML en la carpeta htmlcov/ (Coverage.py).</w:t>
      </w:r>
    </w:p>
    <w:p>
      <w:pPr>
        <w:ind w:left="360"/>
        <w:spacing w:after="40"/>
        <w:rPr/>
      </w:pPr>
      <w:r>
        <w:rPr>
          <w:rtl w:val="0"/>
        </w:rPr>
        <w:t xml:space="preserve">• Documentación: unittest (docs.python.org/3/library/unittest.html), Coverage.py (coverage.readthedocs.io).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cfg.png"/><Relationship Id="rId9" Type="http://schemas.openxmlformats.org/officeDocument/2006/relationships/image" Target="media/shot_exec.png"/><Relationship Id="rId10" Type="http://schemas.openxmlformats.org/officeDocument/2006/relationships/image" Target="media/shot_cov.png"/><Relationship Id="rId11" Type="http://schemas.openxmlformats.org/officeDocument/2006/relationships/image" Target="media/shot_sr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OquU1m1XZpBjXdsW1kxYhqycA==">CgMxLjA4AHIhMWM1eE91ODNxMk1kbWh1M2lxOElfYmVSOWptQnloOG41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