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neuroguIA</w:t>
        <w:br/>
        <w:t>Instrumentos y criterios de reporte</w:t>
      </w:r>
    </w:p>
    <w:p>
      <w:pPr>
        <w:jc w:val="center"/>
      </w:pPr>
      <w:r>
        <w:rPr>
          <w:b/>
          <w:color w:val="0F8A8A"/>
        </w:rPr>
        <w:t>Referencia metodológica para tesis, dashboard y repositorio público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5040"/>
          </w:tcPr>
          <w:p>
            <w:r>
              <w:t>Cristhianne De León</w:t>
            </w:r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Proyecto</w:t>
            </w:r>
          </w:p>
        </w:tc>
        <w:tc>
          <w:tcPr>
            <w:tcW w:type="dxa" w:w="5040"/>
          </w:tcPr>
          <w:p>
            <w:r>
              <w:t>neuroguIA</w:t>
            </w:r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Muestra</w:t>
            </w:r>
          </w:p>
        </w:tc>
        <w:tc>
          <w:tcPr>
            <w:tcW w:type="dxa" w:w="5040"/>
          </w:tcPr>
          <w:p>
            <w:r>
              <w:t>562 participantes: 281 experimental / 281 control</w:t>
            </w:r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Intervención</w:t>
            </w:r>
          </w:p>
        </w:tc>
        <w:tc>
          <w:tcPr>
            <w:tcW w:type="dxa" w:w="5040"/>
          </w:tcPr>
          <w:p>
            <w:r>
              <w:t>18 semanas: 12 de enero–17 de mayo de 2026</w:t>
            </w:r>
          </w:p>
        </w:tc>
      </w:tr>
    </w:tbl>
    <w:p>
      <w:pPr>
        <w:pStyle w:val="Heading1"/>
      </w:pPr>
      <w:r>
        <w:t>1. Criterio general</w:t>
      </w:r>
    </w:p>
    <w:p>
      <w:r>
        <w:t>La documentación pública debe reproducir las decisiones analíticas finales de la tesis sin convertir el repositorio en una copia de la base individual. Los instrumentos psicométricos, las medidas auxiliares y los instrumentos de experiencia se reportan con nombres y alcances diferenciados. Cuando una evidencia existe únicamente a nivel agregado, se conserva en ese nivel y no se reconstruyen artificialmente observaciones individuales.</w:t>
      </w:r>
    </w:p>
    <w:p>
      <w:pPr>
        <w:pStyle w:val="Heading1"/>
      </w:pPr>
      <w:r>
        <w:t>2. Matriz de instrumentos y medidas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296"/>
            <w:shd w:fill="123A7A"/>
          </w:tcPr>
          <w:p>
            <w:r>
              <w:rPr>
                <w:b/>
                <w:color w:val="FFFFFF"/>
              </w:rPr>
              <w:t>Código</w:t>
            </w:r>
          </w:p>
        </w:tc>
        <w:tc>
          <w:tcPr>
            <w:tcW w:type="dxa" w:w="2088"/>
            <w:shd w:fill="123A7A"/>
          </w:tcPr>
          <w:p>
            <w:r>
              <w:rPr>
                <w:b/>
                <w:color w:val="FFFFFF"/>
              </w:rPr>
              <w:t>Instrumento / medida</w:t>
            </w:r>
          </w:p>
        </w:tc>
        <w:tc>
          <w:tcPr>
            <w:tcW w:type="dxa" w:w="2232"/>
            <w:shd w:fill="123A7A"/>
          </w:tcPr>
          <w:p>
            <w:r>
              <w:rPr>
                <w:b/>
                <w:color w:val="FFFFFF"/>
              </w:rPr>
              <w:t>Estructura</w:t>
            </w:r>
          </w:p>
        </w:tc>
        <w:tc>
          <w:tcPr>
            <w:tcW w:type="dxa" w:w="2088"/>
            <w:shd w:fill="123A7A"/>
          </w:tcPr>
          <w:p>
            <w:r>
              <w:rPr>
                <w:b/>
                <w:color w:val="FFFFFF"/>
              </w:rPr>
              <w:t>Aplicación</w:t>
            </w:r>
          </w:p>
        </w:tc>
        <w:tc>
          <w:tcPr>
            <w:tcW w:type="dxa" w:w="2952"/>
            <w:shd w:fill="123A7A"/>
          </w:tcPr>
          <w:p>
            <w:r>
              <w:rPr>
                <w:b/>
                <w:color w:val="FFFFFF"/>
              </w:rPr>
              <w:t>Criterio de reporte</w:t>
            </w:r>
          </w:p>
        </w:tc>
      </w:tr>
      <w:tr>
        <w:tc>
          <w:tcPr>
            <w:tcW w:type="dxa" w:w="1296"/>
            <w:vAlign w:val="center"/>
          </w:tcPr>
          <w:p>
            <w:r>
              <w:t>SOCIO14</w:t>
            </w:r>
          </w:p>
        </w:tc>
        <w:tc>
          <w:tcPr>
            <w:tcW w:type="dxa" w:w="2088"/>
            <w:vAlign w:val="center"/>
          </w:tcPr>
          <w:p>
            <w:r>
              <w:t>Ficha sociodemográfica</w:t>
            </w:r>
          </w:p>
        </w:tc>
        <w:tc>
          <w:tcPr>
            <w:tcW w:type="dxa" w:w="2232"/>
            <w:vAlign w:val="center"/>
          </w:tcPr>
          <w:p>
            <w:r>
              <w:t>14 campos</w:t>
            </w:r>
          </w:p>
        </w:tc>
        <w:tc>
          <w:tcPr>
            <w:tcW w:type="dxa" w:w="2088"/>
            <w:vAlign w:val="center"/>
          </w:tcPr>
          <w:p>
            <w:r>
              <w:t>Basal; ambos grupos</w:t>
            </w:r>
          </w:p>
        </w:tc>
        <w:tc>
          <w:tcPr>
            <w:tcW w:type="dxa" w:w="2952"/>
            <w:vAlign w:val="center"/>
          </w:tcPr>
          <w:p>
            <w:r>
              <w:t>Caracterización agregada; no genera puntuación global.</w:t>
            </w:r>
          </w:p>
        </w:tc>
      </w:tr>
      <w:tr>
        <w:tc>
          <w:tcPr>
            <w:tcW w:type="dxa" w:w="1296"/>
            <w:vAlign w:val="center"/>
          </w:tcPr>
          <w:p>
            <w:r>
              <w:t>DASS21</w:t>
            </w:r>
          </w:p>
        </w:tc>
        <w:tc>
          <w:tcPr>
            <w:tcW w:type="dxa" w:w="2088"/>
            <w:vAlign w:val="center"/>
          </w:tcPr>
          <w:p>
            <w:r>
              <w:t>DASS-21 contextualizado</w:t>
            </w:r>
          </w:p>
        </w:tc>
        <w:tc>
          <w:tcPr>
            <w:tcW w:type="dxa" w:w="2232"/>
            <w:vAlign w:val="center"/>
          </w:tcPr>
          <w:p>
            <w:r>
              <w:t>21 reactivos; estrés, ansiedad y depresión</w:t>
            </w:r>
          </w:p>
        </w:tc>
        <w:tc>
          <w:tcPr>
            <w:tcW w:type="dxa" w:w="2088"/>
            <w:vAlign w:val="center"/>
          </w:tcPr>
          <w:p>
            <w:r>
              <w:t>Pretest y postest; ambos grupos</w:t>
            </w:r>
          </w:p>
        </w:tc>
        <w:tc>
          <w:tcPr>
            <w:tcW w:type="dxa" w:w="2952"/>
            <w:vAlign w:val="center"/>
          </w:tcPr>
          <w:p>
            <w:r>
              <w:t>Estrés principal; ansiedad y depresión complementarias. Resultados no clínicos.</w:t>
            </w:r>
          </w:p>
        </w:tc>
      </w:tr>
      <w:tr>
        <w:tc>
          <w:tcPr>
            <w:tcW w:type="dxa" w:w="1296"/>
            <w:vAlign w:val="center"/>
          </w:tcPr>
          <w:p>
            <w:r>
              <w:t>MSPSS12</w:t>
            </w:r>
          </w:p>
        </w:tc>
        <w:tc>
          <w:tcPr>
            <w:tcW w:type="dxa" w:w="2088"/>
            <w:vAlign w:val="center"/>
          </w:tcPr>
          <w:p>
            <w:r>
              <w:t>MSPSS</w:t>
            </w:r>
          </w:p>
        </w:tc>
        <w:tc>
          <w:tcPr>
            <w:tcW w:type="dxa" w:w="2232"/>
            <w:vAlign w:val="center"/>
          </w:tcPr>
          <w:p>
            <w:r>
              <w:t>12 reactivos; resultado oficial disponible en forma agregada</w:t>
            </w:r>
          </w:p>
        </w:tc>
        <w:tc>
          <w:tcPr>
            <w:tcW w:type="dxa" w:w="2088"/>
            <w:vAlign w:val="center"/>
          </w:tcPr>
          <w:p>
            <w:r>
              <w:t>Pretest y postest; ambos grupos</w:t>
            </w:r>
          </w:p>
        </w:tc>
        <w:tc>
          <w:tcPr>
            <w:tcW w:type="dxa" w:w="2952"/>
            <w:vAlign w:val="center"/>
          </w:tcPr>
          <w:p>
            <w:r>
              <w:t>Experimental 2.69→4.48; control 2.69→2.73.</w:t>
            </w:r>
          </w:p>
        </w:tc>
      </w:tr>
      <w:tr>
        <w:tc>
          <w:tcPr>
            <w:tcW w:type="dxa" w:w="1296"/>
            <w:vAlign w:val="center"/>
          </w:tcPr>
          <w:p>
            <w:r>
              <w:t>APOYO_AUX</w:t>
            </w:r>
          </w:p>
        </w:tc>
        <w:tc>
          <w:tcPr>
            <w:tcW w:type="dxa" w:w="2088"/>
            <w:vAlign w:val="center"/>
          </w:tcPr>
          <w:p>
            <w:r>
              <w:t>Índice auxiliar de apoyo</w:t>
            </w:r>
          </w:p>
        </w:tc>
        <w:tc>
          <w:tcPr>
            <w:tcW w:type="dxa" w:w="2232"/>
            <w:vAlign w:val="center"/>
          </w:tcPr>
          <w:p>
            <w:r>
              <w:t>Indicador individual secundario</w:t>
            </w:r>
          </w:p>
        </w:tc>
        <w:tc>
          <w:tcPr>
            <w:tcW w:type="dxa" w:w="2088"/>
            <w:vAlign w:val="center"/>
          </w:tcPr>
          <w:p>
            <w:r>
              <w:t>Pretest y postest; ambos grupos</w:t>
            </w:r>
          </w:p>
        </w:tc>
        <w:tc>
          <w:tcPr>
            <w:tcW w:type="dxa" w:w="2952"/>
            <w:vAlign w:val="center"/>
          </w:tcPr>
          <w:p>
            <w:r>
              <w:t>No denominar MSPSS. Se utiliza en análisis secundarios.</w:t>
            </w:r>
          </w:p>
        </w:tc>
      </w:tr>
      <w:tr>
        <w:tc>
          <w:tcPr>
            <w:tcW w:type="dxa" w:w="1296"/>
            <w:vAlign w:val="center"/>
          </w:tcPr>
          <w:p>
            <w:r>
              <w:t>WHOQOL26</w:t>
            </w:r>
          </w:p>
        </w:tc>
        <w:tc>
          <w:tcPr>
            <w:tcW w:type="dxa" w:w="2088"/>
            <w:vAlign w:val="center"/>
          </w:tcPr>
          <w:p>
            <w:r>
              <w:t>WHOQOL-BREF</w:t>
            </w:r>
          </w:p>
        </w:tc>
        <w:tc>
          <w:tcPr>
            <w:tcW w:type="dxa" w:w="2232"/>
            <w:vAlign w:val="center"/>
          </w:tcPr>
          <w:p>
            <w:r>
              <w:t>26 reactivos; cuatro dominios oficiales</w:t>
            </w:r>
          </w:p>
        </w:tc>
        <w:tc>
          <w:tcPr>
            <w:tcW w:type="dxa" w:w="2088"/>
            <w:vAlign w:val="center"/>
          </w:tcPr>
          <w:p>
            <w:r>
              <w:t>Pretest y postest; ambos grupos</w:t>
            </w:r>
          </w:p>
        </w:tc>
        <w:tc>
          <w:tcPr>
            <w:tcW w:type="dxa" w:w="2952"/>
            <w:vAlign w:val="center"/>
          </w:tcPr>
          <w:p>
            <w:r>
              <w:t>Dominios 0–100; global solo como indicador descriptivo.</w:t>
            </w:r>
          </w:p>
        </w:tc>
      </w:tr>
      <w:tr>
        <w:tc>
          <w:tcPr>
            <w:tcW w:type="dxa" w:w="1296"/>
            <w:vAlign w:val="center"/>
          </w:tcPr>
          <w:p>
            <w:r>
              <w:t>UTIL10</w:t>
            </w:r>
          </w:p>
        </w:tc>
        <w:tc>
          <w:tcPr>
            <w:tcW w:type="dxa" w:w="2088"/>
            <w:vAlign w:val="center"/>
          </w:tcPr>
          <w:p>
            <w:r>
              <w:t>EUA-neuroguIA</w:t>
            </w:r>
          </w:p>
        </w:tc>
        <w:tc>
          <w:tcPr>
            <w:tcW w:type="dxa" w:w="2232"/>
            <w:vAlign w:val="center"/>
          </w:tcPr>
          <w:p>
            <w:r>
              <w:t>10 reactivos</w:t>
            </w:r>
          </w:p>
        </w:tc>
        <w:tc>
          <w:tcPr>
            <w:tcW w:type="dxa" w:w="2088"/>
            <w:vAlign w:val="center"/>
          </w:tcPr>
          <w:p>
            <w:r>
              <w:t>Postest; experimental</w:t>
            </w:r>
          </w:p>
        </w:tc>
        <w:tc>
          <w:tcPr>
            <w:tcW w:type="dxa" w:w="2952"/>
            <w:vAlign w:val="center"/>
          </w:tcPr>
          <w:p>
            <w:r>
              <w:t>Usabilidad y aceptabilidad; reporte descriptivo agregado.</w:t>
            </w:r>
          </w:p>
        </w:tc>
      </w:tr>
      <w:tr>
        <w:tc>
          <w:tcPr>
            <w:tcW w:type="dxa" w:w="1296"/>
            <w:vAlign w:val="center"/>
          </w:tcPr>
          <w:p>
            <w:r>
              <w:t>APOYO10</w:t>
            </w:r>
          </w:p>
        </w:tc>
        <w:tc>
          <w:tcPr>
            <w:tcW w:type="dxa" w:w="2088"/>
            <w:vAlign w:val="center"/>
          </w:tcPr>
          <w:p>
            <w:r>
              <w:t>EEP-neuroguIA</w:t>
            </w:r>
          </w:p>
        </w:tc>
        <w:tc>
          <w:tcPr>
            <w:tcW w:type="dxa" w:w="2232"/>
            <w:vAlign w:val="center"/>
          </w:tcPr>
          <w:p>
            <w:r>
              <w:t>10 reactivos</w:t>
            </w:r>
          </w:p>
        </w:tc>
        <w:tc>
          <w:tcPr>
            <w:tcW w:type="dxa" w:w="2088"/>
            <w:vAlign w:val="center"/>
          </w:tcPr>
          <w:p>
            <w:r>
              <w:t>Postest; experimental</w:t>
            </w:r>
          </w:p>
        </w:tc>
        <w:tc>
          <w:tcPr>
            <w:tcW w:type="dxa" w:w="2952"/>
            <w:vAlign w:val="center"/>
          </w:tcPr>
          <w:p>
            <w:r>
              <w:t>Empatía y acompañamiento; instrumento complementario.</w:t>
            </w:r>
          </w:p>
        </w:tc>
      </w:tr>
      <w:tr>
        <w:tc>
          <w:tcPr>
            <w:tcW w:type="dxa" w:w="1296"/>
            <w:vAlign w:val="center"/>
          </w:tcPr>
          <w:p>
            <w:r>
              <w:t>EAPC12</w:t>
            </w:r>
          </w:p>
        </w:tc>
        <w:tc>
          <w:tcPr>
            <w:tcW w:type="dxa" w:w="2088"/>
            <w:vAlign w:val="center"/>
          </w:tcPr>
          <w:p>
            <w:r>
              <w:t>EAPC-neuroguIA</w:t>
            </w:r>
          </w:p>
        </w:tc>
        <w:tc>
          <w:tcPr>
            <w:tcW w:type="dxa" w:w="2232"/>
            <w:vAlign w:val="center"/>
          </w:tcPr>
          <w:p>
            <w:r>
              <w:t>12 reactivos</w:t>
            </w:r>
          </w:p>
        </w:tc>
        <w:tc>
          <w:tcPr>
            <w:tcW w:type="dxa" w:w="2088"/>
            <w:vAlign w:val="center"/>
          </w:tcPr>
          <w:p>
            <w:r>
              <w:t>Postest; experimental</w:t>
            </w:r>
          </w:p>
        </w:tc>
        <w:tc>
          <w:tcPr>
            <w:tcW w:type="dxa" w:w="2952"/>
            <w:vAlign w:val="center"/>
          </w:tcPr>
          <w:p>
            <w:r>
              <w:t>Accesibilidad y pertinencia cultural; instrumento complementario.</w:t>
            </w:r>
          </w:p>
        </w:tc>
      </w:tr>
      <w:tr>
        <w:tc>
          <w:tcPr>
            <w:tcW w:type="dxa" w:w="1296"/>
            <w:vAlign w:val="center"/>
          </w:tcPr>
          <w:p>
            <w:r>
              <w:t>PRE5</w:t>
            </w:r>
          </w:p>
        </w:tc>
        <w:tc>
          <w:tcPr>
            <w:tcW w:type="dxa" w:w="2088"/>
            <w:vAlign w:val="center"/>
          </w:tcPr>
          <w:p>
            <w:r>
              <w:t>Pretest descriptivo</w:t>
            </w:r>
          </w:p>
        </w:tc>
        <w:tc>
          <w:tcPr>
            <w:tcW w:type="dxa" w:w="2232"/>
            <w:vAlign w:val="center"/>
          </w:tcPr>
          <w:p>
            <w:r>
              <w:t>5 campos</w:t>
            </w:r>
          </w:p>
        </w:tc>
        <w:tc>
          <w:tcPr>
            <w:tcW w:type="dxa" w:w="2088"/>
            <w:vAlign w:val="center"/>
          </w:tcPr>
          <w:p>
            <w:r>
              <w:t>Pretest; experimental</w:t>
            </w:r>
          </w:p>
        </w:tc>
        <w:tc>
          <w:tcPr>
            <w:tcW w:type="dxa" w:w="2952"/>
            <w:vAlign w:val="center"/>
          </w:tcPr>
          <w:p>
            <w:r>
              <w:t>Condiciones y expectativas iniciales.</w:t>
            </w:r>
          </w:p>
        </w:tc>
      </w:tr>
      <w:tr>
        <w:tc>
          <w:tcPr>
            <w:tcW w:type="dxa" w:w="1296"/>
            <w:vAlign w:val="center"/>
          </w:tcPr>
          <w:p>
            <w:r>
              <w:t>POST5</w:t>
            </w:r>
          </w:p>
        </w:tc>
        <w:tc>
          <w:tcPr>
            <w:tcW w:type="dxa" w:w="2088"/>
            <w:vAlign w:val="center"/>
          </w:tcPr>
          <w:p>
            <w:r>
              <w:t>Postest descriptivo</w:t>
            </w:r>
          </w:p>
        </w:tc>
        <w:tc>
          <w:tcPr>
            <w:tcW w:type="dxa" w:w="2232"/>
            <w:vAlign w:val="center"/>
          </w:tcPr>
          <w:p>
            <w:r>
              <w:t>5 campos</w:t>
            </w:r>
          </w:p>
        </w:tc>
        <w:tc>
          <w:tcPr>
            <w:tcW w:type="dxa" w:w="2088"/>
            <w:vAlign w:val="center"/>
          </w:tcPr>
          <w:p>
            <w:r>
              <w:t>Postest; experimental</w:t>
            </w:r>
          </w:p>
        </w:tc>
        <w:tc>
          <w:tcPr>
            <w:tcW w:type="dxa" w:w="2952"/>
            <w:vAlign w:val="center"/>
          </w:tcPr>
          <w:p>
            <w:r>
              <w:t>Satisfacción, experiencia final y continuidad.</w:t>
            </w:r>
          </w:p>
        </w:tc>
      </w:tr>
    </w:tbl>
    <w:p>
      <w:pPr>
        <w:pStyle w:val="Heading1"/>
      </w:pPr>
      <w:r>
        <w:t>3. Reglas de reporte por componente</w:t>
      </w:r>
    </w:p>
    <w:p>
      <w:pPr>
        <w:pStyle w:val="Heading2"/>
      </w:pPr>
      <w:r>
        <w:t>3.1 DASS-21</w:t>
      </w:r>
    </w:p>
    <w:p>
      <w:r>
        <w:t>Las puntuaciones individuales de estrés, ansiedad y depresión están disponibles para los 562 participantes y sustentan los análisis descriptivos, pretest–postest, ANCOVA, pruebas no paramétricas y tamaños del efecto. La interpretación se mantiene dentro del alcance no clínico de neuroguIA y no se utiliza para diagnóstico individual.</w:t>
      </w:r>
    </w:p>
    <w:p>
      <w:pPr>
        <w:pStyle w:val="Heading2"/>
      </w:pPr>
      <w:r>
        <w:t>3.2 MSPSS e índice auxiliar de apoyo</w:t>
      </w:r>
    </w:p>
    <w:p>
      <w:r>
        <w:t>La MSPSS constituye la referencia oficial para apoyo social percibido en la tesis. El resultado oficial se conserva a nivel agregado: el grupo experimental pasó de 2.69 a 4.48 y el grupo control de 2.69 a 2.73. El Documento Maestro conserva además un índice auxiliar individual de apoyo, cuyo cambio experimental es 2.69 a 3.40. Esta segunda variable permite análisis secundarios, pero no equivale a MSPSS ni reproduce sus 12 reactivos.</w:t>
      </w:r>
    </w:p>
    <w:p>
      <w:pPr>
        <w:pStyle w:val="Heading2"/>
      </w:pPr>
      <w:r>
        <w:t>3.3 WHOQOL-BREF</w:t>
      </w:r>
    </w:p>
    <w:p>
      <w:r>
        <w:t>WHOQOL-BREF se analiza en los cuatro dominios oficiales: físico, psicológico, relaciones sociales y entorno. Los puntajes se expresan en escala 0–100. El promedio de los cuatro dominios puede emplearse como indicador global descriptivo, pero no debe presentarse como un quinto dominio oficial.</w:t>
      </w:r>
    </w:p>
    <w:p>
      <w:pPr>
        <w:pStyle w:val="Heading2"/>
      </w:pPr>
      <w:r>
        <w:t>3.4 Instrumentos de experiencia</w:t>
      </w:r>
    </w:p>
    <w:p>
      <w:r>
        <w:t>Los instrumentos EUA-neuroguIA/UTIL10, EEP-neuroguIA/APOYO10 y EAPC-neuroguIA/EAPC12 documentan dimensiones de experiencia de interacción, acompañamiento, usabilidad, accesibilidad y pertinencia cultural. PRE5 y POST5 complementan la descripción de condiciones iniciales y experiencia final. Los indicadores se presentan en forma descriptiva y solo se reportan propiedades psicométricas cuando pueden reproducirse desde la evidencia auditada.</w:t>
      </w:r>
    </w:p>
    <w:p>
      <w:pPr>
        <w:pStyle w:val="Heading1"/>
      </w:pPr>
      <w:r>
        <w:t>4. Criterios estadísticos</w:t>
      </w:r>
    </w:p>
    <w:p>
      <w:pPr>
        <w:pStyle w:val="ListBullet"/>
      </w:pPr>
      <w:r>
        <w:t>ANCOVA final: postest ~ grupo + pretest, con errores estándar robustos HC3.</w:t>
      </w:r>
    </w:p>
    <w:p>
      <w:pPr>
        <w:pStyle w:val="ListBullet"/>
      </w:pPr>
      <w:r>
        <w:t>DASS-21: estrés constituye el resultado socioemocional principal; ansiedad y depresión amplían la interpretación.</w:t>
      </w:r>
    </w:p>
    <w:p>
      <w:pPr>
        <w:pStyle w:val="ListBullet"/>
      </w:pPr>
      <w:r>
        <w:t>Tamaños del efecto postest: estrés d=-0.942; ansiedad d=-0.783; depresión d=-0.707.</w:t>
      </w:r>
    </w:p>
    <w:p>
      <w:pPr>
        <w:pStyle w:val="ListBullet"/>
      </w:pPr>
      <w:r>
        <w:t>WHOQOL-BREF: diferencias ajustadas significativas en los cuatro dominios; el global es descriptivo.</w:t>
      </w:r>
    </w:p>
    <w:p>
      <w:pPr>
        <w:pStyle w:val="ListBullet"/>
      </w:pPr>
      <w:r>
        <w:t>Dentro del grupo experimental, mensajes y semanas activas no mostraron una asociación simple significativa con la mejoría del estrés.</w:t>
      </w:r>
    </w:p>
    <w:p>
      <w:pPr>
        <w:pStyle w:val="ListBullet"/>
      </w:pPr>
      <w:r>
        <w:t>PLN histórico (1,020 registros, 9 categorías, accuracy .93) y PLN operativo (6,463 registros, 7 categorías, accuracy técnica 1.0) deben mantenerse separados.</w:t>
      </w:r>
    </w:p>
    <w:p>
      <w:pPr>
        <w:pStyle w:val="Heading1"/>
      </w:pPr>
      <w:r>
        <w:t>5. Temporalidad y uso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0F8A8A"/>
          </w:tcPr>
          <w:p>
            <w:r>
              <w:rPr>
                <w:b/>
                <w:color w:val="FFFFFF"/>
              </w:rPr>
              <w:t>Indicador</w:t>
            </w:r>
          </w:p>
        </w:tc>
        <w:tc>
          <w:tcPr>
            <w:tcW w:type="dxa" w:w="3360"/>
            <w:shd w:fill="0F8A8A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3360"/>
            <w:shd w:fill="0F8A8A"/>
          </w:tcPr>
          <w:p>
            <w:r>
              <w:rPr>
                <w:b/>
                <w:color w:val="FFFFFF"/>
              </w:rPr>
              <w:t>Alcance</w:t>
            </w:r>
          </w:p>
        </w:tc>
      </w:tr>
      <w:tr>
        <w:tc>
          <w:tcPr>
            <w:tcW w:type="dxa" w:w="3360"/>
          </w:tcPr>
          <w:p>
            <w:r>
              <w:t>Intervención activa</w:t>
            </w:r>
          </w:p>
        </w:tc>
        <w:tc>
          <w:tcPr>
            <w:tcW w:type="dxa" w:w="3360"/>
          </w:tcPr>
          <w:p>
            <w:r>
              <w:t>18 semanas</w:t>
            </w:r>
          </w:p>
        </w:tc>
        <w:tc>
          <w:tcPr>
            <w:tcW w:type="dxa" w:w="3360"/>
          </w:tcPr>
          <w:p>
            <w:r>
              <w:t>12-ene-2026 a 17-may-2026</w:t>
            </w:r>
          </w:p>
        </w:tc>
      </w:tr>
      <w:tr>
        <w:tc>
          <w:tcPr>
            <w:tcW w:type="dxa" w:w="3360"/>
          </w:tcPr>
          <w:p>
            <w:r>
              <w:t>Sesiones en ventana experimental</w:t>
            </w:r>
          </w:p>
        </w:tc>
        <w:tc>
          <w:tcPr>
            <w:tcW w:type="dxa" w:w="3360"/>
          </w:tcPr>
          <w:p>
            <w:r>
              <w:t>1,325</w:t>
            </w:r>
          </w:p>
        </w:tc>
        <w:tc>
          <w:tcPr>
            <w:tcW w:type="dxa" w:w="3360"/>
          </w:tcPr>
          <w:p>
            <w:r>
              <w:t>Intervención activa</w:t>
            </w:r>
          </w:p>
        </w:tc>
      </w:tr>
      <w:tr>
        <w:tc>
          <w:tcPr>
            <w:tcW w:type="dxa" w:w="3360"/>
          </w:tcPr>
          <w:p>
            <w:r>
              <w:t>Mensajes en ventana experimental</w:t>
            </w:r>
          </w:p>
        </w:tc>
        <w:tc>
          <w:tcPr>
            <w:tcW w:type="dxa" w:w="3360"/>
          </w:tcPr>
          <w:p>
            <w:r>
              <w:t>10,212</w:t>
            </w:r>
          </w:p>
        </w:tc>
        <w:tc>
          <w:tcPr>
            <w:tcW w:type="dxa" w:w="3360"/>
          </w:tcPr>
          <w:p>
            <w:r>
              <w:t>Intervención activa</w:t>
            </w:r>
          </w:p>
        </w:tc>
      </w:tr>
      <w:tr>
        <w:tc>
          <w:tcPr>
            <w:tcW w:type="dxa" w:w="3360"/>
          </w:tcPr>
          <w:p>
            <w:r>
              <w:t>Sesiones técnicas</w:t>
            </w:r>
          </w:p>
        </w:tc>
        <w:tc>
          <w:tcPr>
            <w:tcW w:type="dxa" w:w="3360"/>
          </w:tcPr>
          <w:p>
            <w:r>
              <w:t>6,463</w:t>
            </w:r>
          </w:p>
        </w:tc>
        <w:tc>
          <w:tcPr>
            <w:tcW w:type="dxa" w:w="3360"/>
          </w:tcPr>
          <w:p>
            <w:r>
              <w:t>Corpus técnico completo</w:t>
            </w:r>
          </w:p>
        </w:tc>
      </w:tr>
      <w:tr>
        <w:tc>
          <w:tcPr>
            <w:tcW w:type="dxa" w:w="3360"/>
          </w:tcPr>
          <w:p>
            <w:r>
              <w:t>Mensajes técnicos</w:t>
            </w:r>
          </w:p>
        </w:tc>
        <w:tc>
          <w:tcPr>
            <w:tcW w:type="dxa" w:w="3360"/>
          </w:tcPr>
          <w:p>
            <w:r>
              <w:t>47,670</w:t>
            </w:r>
          </w:p>
        </w:tc>
        <w:tc>
          <w:tcPr>
            <w:tcW w:type="dxa" w:w="3360"/>
          </w:tcPr>
          <w:p>
            <w:r>
              <w:t>Corpus técnico completo</w:t>
            </w:r>
          </w:p>
        </w:tc>
      </w:tr>
      <w:tr>
        <w:tc>
          <w:tcPr>
            <w:tcW w:type="dxa" w:w="3360"/>
          </w:tcPr>
          <w:p>
            <w:r>
              <w:t>Duración técnica media</w:t>
            </w:r>
          </w:p>
        </w:tc>
        <w:tc>
          <w:tcPr>
            <w:tcW w:type="dxa" w:w="3360"/>
          </w:tcPr>
          <w:p>
            <w:r>
              <w:t>6.38 min</w:t>
            </w:r>
          </w:p>
        </w:tc>
        <w:tc>
          <w:tcPr>
            <w:tcW w:type="dxa" w:w="3360"/>
          </w:tcPr>
          <w:p>
            <w:r>
              <w:t>Corpus técnico completo</w:t>
            </w:r>
          </w:p>
        </w:tc>
      </w:tr>
    </w:tbl>
    <w:p>
      <w:pPr>
        <w:pStyle w:val="Heading1"/>
      </w:pPr>
      <w:r>
        <w:t>6. Política de publicación y reproducibilidad</w:t>
      </w:r>
    </w:p>
    <w:p>
      <w:r>
        <w:t>El repositorio público distribuye resultados agregados, documentación metodológica, diccionarios, controles de calidad y transformaciones. Las matrices individuales, identificadores, mensajes, memorias, rutinas y corpus conversacional fila por fila permanecen fuera del estado público. Esta separación permite revisar y reproducir los procedimientos analíticos sin exponer información granular innecesaria.</w:t>
      </w:r>
    </w:p>
    <w:p>
      <w:r>
        <w:t>La fuente analítica auditada constituye la referencia para resolver discrepancias entre documentos históricos. Las versiones antiguas que indicaban 12/16 semanas, apoyo 2.69→3.40 como MSPSS, o una migración pública completa de 19 CSV no deben utilizarse como fuente vigente.</w:t>
      </w:r>
    </w:p>
    <w:p>
      <w:pPr>
        <w:pStyle w:val="Heading1"/>
      </w:pPr>
      <w:r>
        <w:t>7. Resumen canónico de resultados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6A3BC0"/>
          </w:tcPr>
          <w:p>
            <w:r>
              <w:rPr>
                <w:b/>
                <w:color w:val="FFFFFF"/>
              </w:rPr>
              <w:t>Resultado</w:t>
            </w:r>
          </w:p>
        </w:tc>
        <w:tc>
          <w:tcPr>
            <w:tcW w:type="dxa" w:w="2520"/>
            <w:shd w:fill="6A3BC0"/>
          </w:tcPr>
          <w:p>
            <w:r>
              <w:rPr>
                <w:b/>
                <w:color w:val="FFFFFF"/>
              </w:rPr>
              <w:t>Experimental</w:t>
            </w:r>
          </w:p>
        </w:tc>
        <w:tc>
          <w:tcPr>
            <w:tcW w:type="dxa" w:w="2520"/>
            <w:shd w:fill="6A3BC0"/>
          </w:tcPr>
          <w:p>
            <w:r>
              <w:rPr>
                <w:b/>
                <w:color w:val="FFFFFF"/>
              </w:rPr>
              <w:t>Control</w:t>
            </w:r>
          </w:p>
        </w:tc>
        <w:tc>
          <w:tcPr>
            <w:tcW w:type="dxa" w:w="2520"/>
            <w:shd w:fill="6A3BC0"/>
          </w:tcPr>
          <w:p>
            <w:r>
              <w:rPr>
                <w:b/>
                <w:color w:val="FFFFFF"/>
              </w:rPr>
              <w:t>Nota</w:t>
            </w:r>
          </w:p>
        </w:tc>
      </w:tr>
      <w:tr>
        <w:tc>
          <w:tcPr>
            <w:tcW w:type="dxa" w:w="2520"/>
          </w:tcPr>
          <w:p>
            <w:r>
              <w:t>Estrés DASS-21</w:t>
            </w:r>
          </w:p>
        </w:tc>
        <w:tc>
          <w:tcPr>
            <w:tcW w:type="dxa" w:w="2520"/>
          </w:tcPr>
          <w:p>
            <w:r>
              <w:t>17.89 → 12.46</w:t>
            </w:r>
          </w:p>
        </w:tc>
        <w:tc>
          <w:tcPr>
            <w:tcW w:type="dxa" w:w="2520"/>
          </w:tcPr>
          <w:p>
            <w:r>
              <w:t>17.98 → 18.16</w:t>
            </w:r>
          </w:p>
        </w:tc>
        <w:tc>
          <w:tcPr>
            <w:tcW w:type="dxa" w:w="2520"/>
          </w:tcPr>
          <w:p>
            <w:r>
              <w:t>−30.36% en experimental</w:t>
            </w:r>
          </w:p>
        </w:tc>
      </w:tr>
      <w:tr>
        <w:tc>
          <w:tcPr>
            <w:tcW w:type="dxa" w:w="2520"/>
          </w:tcPr>
          <w:p>
            <w:r>
              <w:t>Ansiedad DASS-21</w:t>
            </w:r>
          </w:p>
        </w:tc>
        <w:tc>
          <w:tcPr>
            <w:tcW w:type="dxa" w:w="2520"/>
          </w:tcPr>
          <w:p>
            <w:r>
              <w:t>12.82 → 8.83</w:t>
            </w:r>
          </w:p>
        </w:tc>
        <w:tc>
          <w:tcPr>
            <w:tcW w:type="dxa" w:w="2520"/>
          </w:tcPr>
          <w:p>
            <w:r>
              <w:t>12.83 → 12.95</w:t>
            </w:r>
          </w:p>
        </w:tc>
        <w:tc>
          <w:tcPr>
            <w:tcW w:type="dxa" w:w="2520"/>
          </w:tcPr>
          <w:p>
            <w:r>
              <w:t>−31.11% en experimental</w:t>
            </w:r>
          </w:p>
        </w:tc>
      </w:tr>
      <w:tr>
        <w:tc>
          <w:tcPr>
            <w:tcW w:type="dxa" w:w="2520"/>
          </w:tcPr>
          <w:p>
            <w:r>
              <w:t>Depresión DASS-21</w:t>
            </w:r>
          </w:p>
        </w:tc>
        <w:tc>
          <w:tcPr>
            <w:tcW w:type="dxa" w:w="2520"/>
          </w:tcPr>
          <w:p>
            <w:r>
              <w:t>12.52 → 8.81</w:t>
            </w:r>
          </w:p>
        </w:tc>
        <w:tc>
          <w:tcPr>
            <w:tcW w:type="dxa" w:w="2520"/>
          </w:tcPr>
          <w:p>
            <w:r>
              <w:t>12.53 → 12.63</w:t>
            </w:r>
          </w:p>
        </w:tc>
        <w:tc>
          <w:tcPr>
            <w:tcW w:type="dxa" w:w="2520"/>
          </w:tcPr>
          <w:p>
            <w:r>
              <w:t>−29.65% en experimental</w:t>
            </w:r>
          </w:p>
        </w:tc>
      </w:tr>
      <w:tr>
        <w:tc>
          <w:tcPr>
            <w:tcW w:type="dxa" w:w="2520"/>
          </w:tcPr>
          <w:p>
            <w:r>
              <w:t>MSPSS oficial</w:t>
            </w:r>
          </w:p>
        </w:tc>
        <w:tc>
          <w:tcPr>
            <w:tcW w:type="dxa" w:w="2520"/>
          </w:tcPr>
          <w:p>
            <w:r>
              <w:t>2.69 → 4.48</w:t>
            </w:r>
          </w:p>
        </w:tc>
        <w:tc>
          <w:tcPr>
            <w:tcW w:type="dxa" w:w="2520"/>
          </w:tcPr>
          <w:p>
            <w:r>
              <w:t>2.69 → 2.73</w:t>
            </w:r>
          </w:p>
        </w:tc>
        <w:tc>
          <w:tcPr>
            <w:tcW w:type="dxa" w:w="2520"/>
          </w:tcPr>
          <w:p>
            <w:r>
              <w:t>+66.44% en experimental</w:t>
            </w:r>
          </w:p>
        </w:tc>
      </w:tr>
      <w:tr>
        <w:tc>
          <w:tcPr>
            <w:tcW w:type="dxa" w:w="2520"/>
          </w:tcPr>
          <w:p>
            <w:r>
              <w:t>WHOQOL global descriptivo</w:t>
            </w:r>
          </w:p>
        </w:tc>
        <w:tc>
          <w:tcPr>
            <w:tcW w:type="dxa" w:w="2520"/>
          </w:tcPr>
          <w:p>
            <w:r>
              <w:t>50.22 → 61.73</w:t>
            </w:r>
          </w:p>
        </w:tc>
        <w:tc>
          <w:tcPr>
            <w:tcW w:type="dxa" w:w="2520"/>
          </w:tcPr>
          <w:p>
            <w:r>
              <w:t>50.43 → 51.38</w:t>
            </w:r>
          </w:p>
        </w:tc>
        <w:tc>
          <w:tcPr>
            <w:tcW w:type="dxa" w:w="2520"/>
          </w:tcPr>
          <w:p>
            <w:r>
              <w:t>+22.90% en experimental</w:t>
            </w:r>
          </w:p>
        </w:tc>
      </w:tr>
    </w:tbl>
    <w:p>
      <w:pPr>
        <w:jc w:val="center"/>
      </w:pPr>
      <w:r>
        <w:rPr>
          <w:i/>
          <w:color w:val="586273"/>
        </w:rPr>
        <w:t>Documento público de referencia · actualizado el 11 de agosto de 2026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23A7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F8A8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neuroguIA — Instrumentos y criterios de reporte</dc:title>
  <dc:subject>Documentación metodológica pública</dc:subject>
  <dc:creator>Cristhianne De León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