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i w:val="0"/>
          <w:color w:val="008B8B"/>
          <w:sz w:val="20"/>
        </w:rPr>
        <w:t>TESIS neuroguIA</w:t>
      </w:r>
    </w:p>
    <w:p>
      <w:pPr>
        <w:spacing w:before="0" w:after="120"/>
      </w:pPr>
      <w:r>
        <w:rPr>
          <w:rFonts w:ascii="Calibri" w:hAnsi="Calibri"/>
          <w:b/>
          <w:i w:val="0"/>
          <w:color w:val="203864"/>
          <w:sz w:val="48"/>
        </w:rPr>
        <w:t>Matriz definitiva de instrumentos y criterios de reporte</w:t>
      </w:r>
    </w:p>
    <w:p>
      <w:pPr>
        <w:spacing w:before="0" w:after="360"/>
      </w:pPr>
      <w:r>
        <w:rPr>
          <w:rFonts w:ascii="Calibri" w:hAnsi="Calibri"/>
          <w:b w:val="0"/>
          <w:i w:val="0"/>
          <w:color w:val="667085"/>
          <w:sz w:val="26"/>
        </w:rPr>
        <w:t>Referencia metodológica para los capítulos 4, 6 y 7, anexos y concentrado maestro</w:t>
      </w:r>
    </w:p>
    <w:tbl>
      <w:tblPr>
        <w:tblW w:type="dxa" w:w="9360"/>
        <w:jc w:val="left"/>
        <w:tblLayout w:type="fixed"/>
        <w:tblLook w:firstColumn="1" w:firstRow="1" w:lastColumn="0" w:lastRow="0" w:noHBand="0" w:noVBand="1" w:val="04A0"/>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100"/>
        <w:gridCol w:w="7260"/>
      </w:tblGrid>
      <w:tr>
        <w:tc>
          <w:tcPr>
            <w:tcW w:type="dxa" w:w="2100"/>
            <w:tcMar>
              <w:top w:w="80" w:type="dxa"/>
              <w:start w:w="120" w:type="dxa"/>
              <w:bottom w:w="80" w:type="dxa"/>
              <w:end w:w="120" w:type="dxa"/>
            </w:tcMar>
            <w:vAlign w:val="center"/>
            <w:shd w:fill="E8EEF5"/>
          </w:tcPr>
          <w:p>
            <w:pPr>
              <w:spacing w:after="0"/>
            </w:pPr>
            <w:r>
              <w:rPr>
                <w:rFonts w:ascii="Calibri" w:hAnsi="Calibri"/>
                <w:b/>
                <w:i w:val="0"/>
                <w:color w:val="203864"/>
                <w:sz w:val="19"/>
              </w:rPr>
              <w:t>Responsable</w:t>
            </w:r>
          </w:p>
        </w:tc>
        <w:tc>
          <w:tcPr>
            <w:tcW w:type="dxa" w:w="7260"/>
            <w:tcMar>
              <w:top w:w="80" w:type="dxa"/>
              <w:start w:w="120" w:type="dxa"/>
              <w:bottom w:w="80" w:type="dxa"/>
              <w:end w:w="120" w:type="dxa"/>
            </w:tcMar>
            <w:vAlign w:val="center"/>
          </w:tcPr>
          <w:p>
            <w:pPr>
              <w:spacing w:after="0"/>
            </w:pPr>
            <w:r>
              <w:rPr>
                <w:rFonts w:ascii="Calibri" w:hAnsi="Calibri"/>
                <w:b w:val="0"/>
                <w:i w:val="0"/>
                <w:color w:val="1F2937"/>
                <w:sz w:val="19"/>
              </w:rPr>
              <w:t>Cristhianne De León</w:t>
            </w:r>
          </w:p>
        </w:tc>
      </w:tr>
      <w:tr>
        <w:tc>
          <w:tcPr>
            <w:tcW w:type="dxa" w:w="2100"/>
            <w:tcMar>
              <w:top w:w="80" w:type="dxa"/>
              <w:start w:w="120" w:type="dxa"/>
              <w:bottom w:w="80" w:type="dxa"/>
              <w:end w:w="120" w:type="dxa"/>
            </w:tcMar>
            <w:vAlign w:val="center"/>
            <w:shd w:fill="E8EEF5"/>
          </w:tcPr>
          <w:p>
            <w:pPr>
              <w:spacing w:after="0"/>
            </w:pPr>
            <w:r>
              <w:rPr>
                <w:rFonts w:ascii="Calibri" w:hAnsi="Calibri"/>
                <w:b/>
                <w:i w:val="0"/>
                <w:color w:val="203864"/>
                <w:sz w:val="19"/>
              </w:rPr>
              <w:t>Proyecto</w:t>
            </w:r>
          </w:p>
        </w:tc>
        <w:tc>
          <w:tcPr>
            <w:tcW w:type="dxa" w:w="7260"/>
            <w:tcMar>
              <w:top w:w="80" w:type="dxa"/>
              <w:start w:w="120" w:type="dxa"/>
              <w:bottom w:w="80" w:type="dxa"/>
              <w:end w:w="120" w:type="dxa"/>
            </w:tcMar>
            <w:vAlign w:val="center"/>
          </w:tcPr>
          <w:p>
            <w:pPr>
              <w:spacing w:after="0"/>
            </w:pPr>
            <w:r>
              <w:rPr>
                <w:rFonts w:ascii="Calibri" w:hAnsi="Calibri"/>
                <w:b w:val="0"/>
                <w:i w:val="0"/>
                <w:color w:val="1F2937"/>
                <w:sz w:val="19"/>
              </w:rPr>
              <w:t>neuroguIA</w:t>
            </w:r>
          </w:p>
        </w:tc>
      </w:tr>
      <w:tr>
        <w:tc>
          <w:tcPr>
            <w:tcW w:type="dxa" w:w="2100"/>
            <w:tcMar>
              <w:top w:w="80" w:type="dxa"/>
              <w:start w:w="120" w:type="dxa"/>
              <w:bottom w:w="80" w:type="dxa"/>
              <w:end w:w="120" w:type="dxa"/>
            </w:tcMar>
            <w:vAlign w:val="center"/>
            <w:shd w:fill="E8EEF5"/>
          </w:tcPr>
          <w:p>
            <w:pPr>
              <w:spacing w:after="0"/>
            </w:pPr>
            <w:r>
              <w:rPr>
                <w:rFonts w:ascii="Calibri" w:hAnsi="Calibri"/>
                <w:b/>
                <w:i w:val="0"/>
                <w:color w:val="203864"/>
                <w:sz w:val="19"/>
              </w:rPr>
              <w:t>Fecha de consolidación</w:t>
            </w:r>
          </w:p>
        </w:tc>
        <w:tc>
          <w:tcPr>
            <w:tcW w:type="dxa" w:w="7260"/>
            <w:tcMar>
              <w:top w:w="80" w:type="dxa"/>
              <w:start w:w="120" w:type="dxa"/>
              <w:bottom w:w="80" w:type="dxa"/>
              <w:end w:w="120" w:type="dxa"/>
            </w:tcMar>
            <w:vAlign w:val="center"/>
          </w:tcPr>
          <w:p>
            <w:pPr>
              <w:spacing w:after="0"/>
            </w:pPr>
            <w:r>
              <w:rPr>
                <w:rFonts w:ascii="Calibri" w:hAnsi="Calibri"/>
                <w:b w:val="0"/>
                <w:i w:val="0"/>
                <w:color w:val="1F2937"/>
                <w:sz w:val="19"/>
              </w:rPr>
              <w:t>2026-07-24</w:t>
            </w:r>
          </w:p>
        </w:tc>
      </w:tr>
    </w:tbl>
    <w:p>
      <w:pPr>
        <w:pStyle w:val="Heading1"/>
      </w:pPr>
      <w:r>
        <w:t>1. Dictamen metodológico</w:t>
      </w:r>
    </w:p>
    <w:tbl>
      <w:tblPr>
        <w:tblW w:type="dxa" w:w="9360"/>
        <w:jc w:val="left"/>
        <w:tblLayout w:type="fixed"/>
        <w:tblLook w:firstColumn="1" w:firstRow="1" w:lastColumn="0" w:lastRow="0" w:noHBand="0" w:noVBand="1" w:val="04A0"/>
        <w:tblInd w:w="120" w:type="dxa"/>
        <w:tblBorders>
          <w:top w:val="single" w:sz="6" w:space="0" w:color="A7DAD5"/>
          <w:left w:val="single" w:sz="6" w:space="0" w:color="A7DAD5"/>
          <w:bottom w:val="single" w:sz="6" w:space="0" w:color="A7DAD5"/>
          <w:right w:val="single" w:sz="6" w:space="0" w:color="A7DAD5"/>
          <w:insideH w:val="single" w:sz="6" w:space="0" w:color="A7DAD5"/>
          <w:insideV w:val="single" w:sz="6" w:space="0" w:color="A7DAD5"/>
        </w:tblBorders>
      </w:tblPr>
      <w:tblGrid>
        <w:gridCol w:w="9360"/>
      </w:tblGrid>
      <w:tr>
        <w:tc>
          <w:tcPr>
            <w:tcW w:type="dxa" w:w="9360"/>
            <w:tcMar>
              <w:top w:w="80" w:type="dxa"/>
              <w:start w:w="120" w:type="dxa"/>
              <w:bottom w:w="80" w:type="dxa"/>
              <w:end w:w="120" w:type="dxa"/>
            </w:tcMar>
            <w:vAlign w:val="center"/>
            <w:shd w:fill="E6F5F3"/>
          </w:tcPr>
          <w:p>
            <w:pPr>
              <w:spacing w:after="60"/>
            </w:pPr>
            <w:r>
              <w:rPr>
                <w:rFonts w:ascii="Calibri" w:hAnsi="Calibri"/>
                <w:b/>
                <w:i w:val="0"/>
                <w:color w:val="203864"/>
                <w:sz w:val="22"/>
              </w:rPr>
              <w:t>Decisión principal</w:t>
            </w:r>
          </w:p>
          <w:p>
            <w:pPr>
              <w:spacing w:after="0"/>
            </w:pPr>
            <w:r>
              <w:rPr>
                <w:rFonts w:ascii="Calibri" w:hAnsi="Calibri"/>
                <w:b w:val="0"/>
                <w:i w:val="0"/>
                <w:color w:val="1F2937"/>
                <w:sz w:val="21"/>
              </w:rPr>
              <w:t>Los formatos disponibles son suficientes para documentar la recolección realizada. No hace falta crear cuestionarios retroactivos. La tesis debe distinguir entre instrumentos estandarizados, cuestionarios adaptados, cuestionarios propios e índices registrados, y reportar cada resultado con el nombre que corresponde a su fuente.</w:t>
            </w:r>
          </w:p>
        </w:tc>
      </w:tr>
    </w:tbl>
    <w:p>
      <w:r>
        <w:rPr>
          <w:rFonts w:ascii="Calibri" w:hAnsi="Calibri"/>
          <w:b w:val="0"/>
          <w:i w:val="0"/>
          <w:color w:val="1F2937"/>
          <w:sz w:val="22"/>
        </w:rPr>
        <w:t>La estructura documental queda integrada por una ficha sociodemográfica, un cuestionario adaptado de malestar emocional, dos cuestionarios propios de experiencia de uso, dos guías descriptivas pretest–postest y el WHOQOL-BREF. Además, la base pretest–postest conserva un índice de percepción de apoyo en escala 20–100, transformado a 1–5 mediante división entre 20.</w:t>
      </w:r>
    </w:p>
    <w:p>
      <w:r>
        <w:rPr>
          <w:rFonts w:ascii="Calibri" w:hAnsi="Calibri"/>
          <w:b w:val="0"/>
          <w:i w:val="0"/>
          <w:color w:val="1F2937"/>
          <w:sz w:val="22"/>
        </w:rPr>
        <w:t>La MSPSS no forma parte del conjunto documental disponible. Por ello, la variable de apoyo no debe atribuirse a esa escala. La MSPSS original contiene 12 reactivos y tres fuentes de apoyo —familia, amistades y persona significativa—, mientras que los datos disponibles en neuroguIA corresponden a otra estructura de puntuación.</w:t>
      </w:r>
    </w:p>
    <w:p>
      <w:r>
        <w:br w:type="page"/>
      </w:r>
    </w:p>
    <w:p>
      <w:pPr>
        <w:pStyle w:val="Heading1"/>
      </w:pPr>
      <w:r>
        <w:t>2. Matriz definitiva de instrumentos</w:t>
      </w: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100"/>
        <w:gridCol w:w="2600"/>
        <w:gridCol w:w="2600"/>
        <w:gridCol w:w="3060"/>
      </w:tblGrid>
      <w:tr>
        <w:trPr>
          <w:tblHeader w:val="true"/>
        </w:trPr>
        <w:tc>
          <w:tcPr>
            <w:tcW w:type="dxa" w:w="1100"/>
            <w:tcMar>
              <w:top w:w="80" w:type="dxa"/>
              <w:start w:w="120" w:type="dxa"/>
              <w:bottom w:w="80" w:type="dxa"/>
              <w:end w:w="120" w:type="dxa"/>
            </w:tcMar>
            <w:vAlign w:val="center"/>
            <w:shd w:fill="4B2E83"/>
          </w:tcPr>
          <w:p>
            <w:pPr>
              <w:spacing w:after="0"/>
              <w:jc w:val="center"/>
            </w:pPr>
            <w:r>
              <w:rPr>
                <w:rFonts w:ascii="Calibri" w:hAnsi="Calibri"/>
                <w:b/>
                <w:i w:val="0"/>
                <w:color w:val="FFFFFF"/>
                <w:sz w:val="17"/>
              </w:rPr>
              <w:t>ID</w:t>
            </w:r>
          </w:p>
        </w:tc>
        <w:tc>
          <w:tcPr>
            <w:tcW w:type="dxa" w:w="2600"/>
            <w:tcMar>
              <w:top w:w="80" w:type="dxa"/>
              <w:start w:w="120" w:type="dxa"/>
              <w:bottom w:w="80" w:type="dxa"/>
              <w:end w:w="120" w:type="dxa"/>
            </w:tcMar>
            <w:vAlign w:val="center"/>
            <w:shd w:fill="4B2E83"/>
          </w:tcPr>
          <w:p>
            <w:pPr>
              <w:spacing w:after="0"/>
              <w:jc w:val="center"/>
            </w:pPr>
            <w:r>
              <w:rPr>
                <w:rFonts w:ascii="Calibri" w:hAnsi="Calibri"/>
                <w:b/>
                <w:i w:val="0"/>
                <w:color w:val="FFFFFF"/>
                <w:sz w:val="17"/>
              </w:rPr>
              <w:t>Nombre definitivo</w:t>
            </w:r>
          </w:p>
        </w:tc>
        <w:tc>
          <w:tcPr>
            <w:tcW w:type="dxa" w:w="2600"/>
            <w:tcMar>
              <w:top w:w="80" w:type="dxa"/>
              <w:start w:w="120" w:type="dxa"/>
              <w:bottom w:w="80" w:type="dxa"/>
              <w:end w:w="120" w:type="dxa"/>
            </w:tcMar>
            <w:vAlign w:val="center"/>
            <w:shd w:fill="4B2E83"/>
          </w:tcPr>
          <w:p>
            <w:pPr>
              <w:spacing w:after="0"/>
              <w:jc w:val="center"/>
            </w:pPr>
            <w:r>
              <w:rPr>
                <w:rFonts w:ascii="Calibri" w:hAnsi="Calibri"/>
                <w:b/>
                <w:i w:val="0"/>
                <w:color w:val="FFFFFF"/>
                <w:sz w:val="17"/>
              </w:rPr>
              <w:t>Aplicación</w:t>
            </w:r>
          </w:p>
        </w:tc>
        <w:tc>
          <w:tcPr>
            <w:tcW w:type="dxa" w:w="3060"/>
            <w:tcMar>
              <w:top w:w="80" w:type="dxa"/>
              <w:start w:w="120" w:type="dxa"/>
              <w:bottom w:w="80" w:type="dxa"/>
              <w:end w:w="120" w:type="dxa"/>
            </w:tcMar>
            <w:vAlign w:val="center"/>
            <w:shd w:fill="4B2E83"/>
          </w:tcPr>
          <w:p>
            <w:pPr>
              <w:spacing w:after="0"/>
              <w:jc w:val="center"/>
            </w:pPr>
            <w:r>
              <w:rPr>
                <w:rFonts w:ascii="Calibri" w:hAnsi="Calibri"/>
                <w:b/>
                <w:i w:val="0"/>
                <w:color w:val="FFFFFF"/>
                <w:sz w:val="17"/>
              </w:rPr>
              <w:t>Uso y puntuación</w:t>
            </w:r>
          </w:p>
        </w:tc>
      </w:tr>
      <w:tr>
        <w:tc>
          <w:tcPr>
            <w:tcW w:type="dxa" w:w="1100"/>
          </w:tcPr>
          <w:p>
            <w:pPr>
              <w:spacing w:after="0"/>
              <w:jc w:val="center"/>
            </w:pPr>
            <w:r>
              <w:rPr>
                <w:rFonts w:ascii="Calibri" w:hAnsi="Calibri"/>
                <w:b w:val="0"/>
                <w:i w:val="0"/>
                <w:color w:val="1F2937"/>
                <w:sz w:val="17"/>
              </w:rPr>
              <w:t>SOCIO14</w:t>
            </w:r>
          </w:p>
        </w:tc>
        <w:tc>
          <w:tcPr>
            <w:tcW w:type="dxa" w:w="2600"/>
          </w:tcPr>
          <w:p>
            <w:pPr>
              <w:spacing w:after="0"/>
              <w:jc w:val="left"/>
            </w:pPr>
            <w:r>
              <w:rPr>
                <w:rFonts w:ascii="Calibri" w:hAnsi="Calibri"/>
                <w:b w:val="0"/>
                <w:i w:val="0"/>
                <w:color w:val="1F2937"/>
                <w:sz w:val="17"/>
              </w:rPr>
              <w:t>Ficha sociodemográfica</w:t>
            </w:r>
          </w:p>
        </w:tc>
        <w:tc>
          <w:tcPr>
            <w:tcW w:type="dxa" w:w="2600"/>
          </w:tcPr>
          <w:p>
            <w:pPr>
              <w:spacing w:after="0"/>
              <w:jc w:val="left"/>
            </w:pPr>
            <w:r>
              <w:rPr>
                <w:rFonts w:ascii="Calibri" w:hAnsi="Calibri"/>
                <w:b w:val="0"/>
                <w:i w:val="0"/>
                <w:color w:val="1F2937"/>
                <w:sz w:val="17"/>
              </w:rPr>
              <w:t>14 campos; respuestas mixtas; línea base.</w:t>
            </w:r>
          </w:p>
        </w:tc>
        <w:tc>
          <w:tcPr>
            <w:tcW w:type="dxa" w:w="3060"/>
          </w:tcPr>
          <w:p>
            <w:pPr>
              <w:spacing w:after="0"/>
              <w:jc w:val="left"/>
            </w:pPr>
            <w:r>
              <w:rPr>
                <w:rFonts w:ascii="Calibri" w:hAnsi="Calibri"/>
                <w:b w:val="0"/>
                <w:i w:val="0"/>
                <w:color w:val="1F2937"/>
                <w:sz w:val="17"/>
              </w:rPr>
              <w:t>Caracterización descriptiva. No genera puntuación ni alfa de Cronbach.</w:t>
            </w:r>
          </w:p>
        </w:tc>
      </w:tr>
      <w:tr>
        <w:tc>
          <w:tcPr>
            <w:tcW w:type="dxa" w:w="1100"/>
            <w:shd w:fill="F2F4F7"/>
          </w:tcPr>
          <w:p>
            <w:pPr>
              <w:spacing w:after="0"/>
              <w:jc w:val="center"/>
            </w:pPr>
            <w:r>
              <w:rPr>
                <w:rFonts w:ascii="Calibri" w:hAnsi="Calibri"/>
                <w:b w:val="0"/>
                <w:i w:val="0"/>
                <w:color w:val="1F2937"/>
                <w:sz w:val="17"/>
              </w:rPr>
              <w:t>DASS21_NG</w:t>
            </w:r>
          </w:p>
        </w:tc>
        <w:tc>
          <w:tcPr>
            <w:tcW w:type="dxa" w:w="2600"/>
            <w:shd w:fill="F2F4F7"/>
          </w:tcPr>
          <w:p>
            <w:pPr>
              <w:spacing w:after="0"/>
              <w:jc w:val="left"/>
            </w:pPr>
            <w:r>
              <w:rPr>
                <w:rFonts w:ascii="Calibri" w:hAnsi="Calibri"/>
                <w:b w:val="0"/>
                <w:i w:val="0"/>
                <w:color w:val="1F2937"/>
                <w:sz w:val="17"/>
              </w:rPr>
              <w:t>Cuestionario adaptado de malestar emocional basado en tres dominios de la DASS-21</w:t>
            </w:r>
          </w:p>
        </w:tc>
        <w:tc>
          <w:tcPr>
            <w:tcW w:type="dxa" w:w="2600"/>
            <w:shd w:fill="F2F4F7"/>
          </w:tcPr>
          <w:p>
            <w:pPr>
              <w:spacing w:after="0"/>
              <w:jc w:val="left"/>
            </w:pPr>
            <w:r>
              <w:rPr>
                <w:rFonts w:ascii="Calibri" w:hAnsi="Calibri"/>
                <w:b w:val="0"/>
                <w:i w:val="0"/>
                <w:color w:val="1F2937"/>
                <w:sz w:val="17"/>
              </w:rPr>
              <w:t>21 reactivos; 0–3; 7 de estrés, 7 de ansiedad y 7 de depresión; pretest y postest.</w:t>
            </w:r>
          </w:p>
        </w:tc>
        <w:tc>
          <w:tcPr>
            <w:tcW w:type="dxa" w:w="3060"/>
            <w:shd w:fill="F2F4F7"/>
          </w:tcPr>
          <w:p>
            <w:pPr>
              <w:spacing w:after="0"/>
              <w:jc w:val="left"/>
            </w:pPr>
            <w:r>
              <w:rPr>
                <w:rFonts w:ascii="Calibri" w:hAnsi="Calibri"/>
                <w:b w:val="0"/>
                <w:i w:val="0"/>
                <w:color w:val="1F2937"/>
                <w:sz w:val="17"/>
              </w:rPr>
              <w:t>Suma cruda por dominio, rango 0–21. No usar puntos de corte normativos ni multiplicar por 2.</w:t>
            </w:r>
          </w:p>
        </w:tc>
      </w:tr>
      <w:tr>
        <w:tc>
          <w:tcPr>
            <w:tcW w:type="dxa" w:w="1100"/>
          </w:tcPr>
          <w:p>
            <w:pPr>
              <w:spacing w:after="0"/>
              <w:jc w:val="center"/>
            </w:pPr>
            <w:r>
              <w:rPr>
                <w:rFonts w:ascii="Calibri" w:hAnsi="Calibri"/>
                <w:b w:val="0"/>
                <w:i w:val="0"/>
                <w:color w:val="1F2937"/>
                <w:sz w:val="17"/>
              </w:rPr>
              <w:t>APOYO_IDX</w:t>
            </w:r>
          </w:p>
        </w:tc>
        <w:tc>
          <w:tcPr>
            <w:tcW w:type="dxa" w:w="2600"/>
          </w:tcPr>
          <w:p>
            <w:pPr>
              <w:spacing w:after="0"/>
              <w:jc w:val="left"/>
            </w:pPr>
            <w:r>
              <w:rPr>
                <w:rFonts w:ascii="Calibri" w:hAnsi="Calibri"/>
                <w:b w:val="0"/>
                <w:i w:val="0"/>
                <w:color w:val="1F2937"/>
                <w:sz w:val="17"/>
              </w:rPr>
              <w:t>Índice pretest–postest de percepción de apoyo</w:t>
            </w:r>
          </w:p>
        </w:tc>
        <w:tc>
          <w:tcPr>
            <w:tcW w:type="dxa" w:w="2600"/>
          </w:tcPr>
          <w:p>
            <w:pPr>
              <w:spacing w:after="0"/>
              <w:jc w:val="left"/>
            </w:pPr>
            <w:r>
              <w:rPr>
                <w:rFonts w:ascii="Calibri" w:hAnsi="Calibri"/>
                <w:b w:val="0"/>
                <w:i w:val="0"/>
                <w:color w:val="1F2937"/>
                <w:sz w:val="17"/>
              </w:rPr>
              <w:t>Valor registrado de 20–100; pretest y postest; ambos grupos.</w:t>
            </w:r>
          </w:p>
        </w:tc>
        <w:tc>
          <w:tcPr>
            <w:tcW w:type="dxa" w:w="3060"/>
          </w:tcPr>
          <w:p>
            <w:pPr>
              <w:spacing w:after="0"/>
              <w:jc w:val="left"/>
            </w:pPr>
            <w:r>
              <w:rPr>
                <w:rFonts w:ascii="Calibri" w:hAnsi="Calibri"/>
                <w:b w:val="0"/>
                <w:i w:val="0"/>
                <w:color w:val="1F2937"/>
                <w:sz w:val="17"/>
              </w:rPr>
              <w:t>Índice en escala 1–5 = valor bruto / 20. Reportar como índice registrado, no como MSPSS.</w:t>
            </w:r>
          </w:p>
        </w:tc>
      </w:tr>
      <w:tr>
        <w:tc>
          <w:tcPr>
            <w:tcW w:type="dxa" w:w="1100"/>
            <w:shd w:fill="F2F4F7"/>
          </w:tcPr>
          <w:p>
            <w:pPr>
              <w:spacing w:after="0"/>
              <w:jc w:val="center"/>
            </w:pPr>
            <w:r>
              <w:rPr>
                <w:rFonts w:ascii="Calibri" w:hAnsi="Calibri"/>
                <w:b w:val="0"/>
                <w:i w:val="0"/>
                <w:color w:val="1F2937"/>
                <w:sz w:val="17"/>
              </w:rPr>
              <w:t>APOYO10</w:t>
            </w:r>
          </w:p>
        </w:tc>
        <w:tc>
          <w:tcPr>
            <w:tcW w:type="dxa" w:w="2600"/>
            <w:shd w:fill="F2F4F7"/>
          </w:tcPr>
          <w:p>
            <w:pPr>
              <w:spacing w:after="0"/>
              <w:jc w:val="left"/>
            </w:pPr>
            <w:r>
              <w:rPr>
                <w:rFonts w:ascii="Calibri" w:hAnsi="Calibri"/>
                <w:b w:val="0"/>
                <w:i w:val="0"/>
                <w:color w:val="1F2937"/>
                <w:sz w:val="17"/>
              </w:rPr>
              <w:t>Cuestionario de experiencia de acompañamiento con neuroguIA</w:t>
            </w:r>
          </w:p>
        </w:tc>
        <w:tc>
          <w:tcPr>
            <w:tcW w:type="dxa" w:w="2600"/>
            <w:shd w:fill="F2F4F7"/>
          </w:tcPr>
          <w:p>
            <w:pPr>
              <w:spacing w:after="0"/>
              <w:jc w:val="left"/>
            </w:pPr>
            <w:r>
              <w:rPr>
                <w:rFonts w:ascii="Calibri" w:hAnsi="Calibri"/>
                <w:b w:val="0"/>
                <w:i w:val="0"/>
                <w:color w:val="1F2937"/>
                <w:sz w:val="17"/>
              </w:rPr>
              <w:t>10 reactivos; Likert 1–5; postest.</w:t>
            </w:r>
          </w:p>
        </w:tc>
        <w:tc>
          <w:tcPr>
            <w:tcW w:type="dxa" w:w="3060"/>
            <w:shd w:fill="F2F4F7"/>
          </w:tcPr>
          <w:p>
            <w:pPr>
              <w:spacing w:after="0"/>
              <w:jc w:val="left"/>
            </w:pPr>
            <w:r>
              <w:rPr>
                <w:rFonts w:ascii="Calibri" w:hAnsi="Calibri"/>
                <w:b w:val="0"/>
                <w:i w:val="0"/>
                <w:color w:val="1F2937"/>
                <w:sz w:val="17"/>
              </w:rPr>
              <w:t>Indicadores descriptivos por reactivo y media global exploratoria. No atribuir alfa sin respuestas por reactivo.</w:t>
            </w:r>
          </w:p>
        </w:tc>
      </w:tr>
      <w:tr>
        <w:tc>
          <w:tcPr>
            <w:tcW w:type="dxa" w:w="1100"/>
          </w:tcPr>
          <w:p>
            <w:pPr>
              <w:spacing w:after="0"/>
              <w:jc w:val="center"/>
            </w:pPr>
            <w:r>
              <w:rPr>
                <w:rFonts w:ascii="Calibri" w:hAnsi="Calibri"/>
                <w:b w:val="0"/>
                <w:i w:val="0"/>
                <w:color w:val="1F2937"/>
                <w:sz w:val="17"/>
              </w:rPr>
              <w:t>UTIL10</w:t>
            </w:r>
          </w:p>
        </w:tc>
        <w:tc>
          <w:tcPr>
            <w:tcW w:type="dxa" w:w="2600"/>
          </w:tcPr>
          <w:p>
            <w:pPr>
              <w:spacing w:after="0"/>
              <w:jc w:val="left"/>
            </w:pPr>
            <w:r>
              <w:rPr>
                <w:rFonts w:ascii="Calibri" w:hAnsi="Calibri"/>
                <w:b w:val="0"/>
                <w:i w:val="0"/>
                <w:color w:val="1F2937"/>
                <w:sz w:val="17"/>
              </w:rPr>
              <w:t>Cuestionario de utilidad tecnológica de neuroguIA</w:t>
            </w:r>
          </w:p>
        </w:tc>
        <w:tc>
          <w:tcPr>
            <w:tcW w:type="dxa" w:w="2600"/>
          </w:tcPr>
          <w:p>
            <w:pPr>
              <w:spacing w:after="0"/>
              <w:jc w:val="left"/>
            </w:pPr>
            <w:r>
              <w:rPr>
                <w:rFonts w:ascii="Calibri" w:hAnsi="Calibri"/>
                <w:b w:val="0"/>
                <w:i w:val="0"/>
                <w:color w:val="1F2937"/>
                <w:sz w:val="17"/>
              </w:rPr>
              <w:t>10 reactivos; Likert 1–5; postest.</w:t>
            </w:r>
          </w:p>
        </w:tc>
        <w:tc>
          <w:tcPr>
            <w:tcW w:type="dxa" w:w="3060"/>
          </w:tcPr>
          <w:p>
            <w:pPr>
              <w:spacing w:after="0"/>
              <w:jc w:val="left"/>
            </w:pPr>
            <w:r>
              <w:rPr>
                <w:rFonts w:ascii="Calibri" w:hAnsi="Calibri"/>
                <w:b w:val="0"/>
                <w:i w:val="0"/>
                <w:color w:val="1F2937"/>
                <w:sz w:val="17"/>
              </w:rPr>
              <w:t>Indicadores descriptivos por reactivo y media global exploratoria. No atribuir alfa sin respuestas por reactivo.</w:t>
            </w:r>
          </w:p>
        </w:tc>
      </w:tr>
      <w:tr>
        <w:tc>
          <w:tcPr>
            <w:tcW w:type="dxa" w:w="1100"/>
            <w:shd w:fill="F2F4F7"/>
          </w:tcPr>
          <w:p>
            <w:pPr>
              <w:spacing w:after="0"/>
              <w:jc w:val="center"/>
            </w:pPr>
            <w:r>
              <w:rPr>
                <w:rFonts w:ascii="Calibri" w:hAnsi="Calibri"/>
                <w:b w:val="0"/>
                <w:i w:val="0"/>
                <w:color w:val="1F2937"/>
                <w:sz w:val="17"/>
              </w:rPr>
              <w:t>PRE5</w:t>
            </w:r>
          </w:p>
        </w:tc>
        <w:tc>
          <w:tcPr>
            <w:tcW w:type="dxa" w:w="2600"/>
            <w:shd w:fill="F2F4F7"/>
          </w:tcPr>
          <w:p>
            <w:pPr>
              <w:spacing w:after="0"/>
              <w:jc w:val="left"/>
            </w:pPr>
            <w:r>
              <w:rPr>
                <w:rFonts w:ascii="Calibri" w:hAnsi="Calibri"/>
                <w:b w:val="0"/>
                <w:i w:val="0"/>
                <w:color w:val="1F2937"/>
                <w:sz w:val="17"/>
              </w:rPr>
              <w:t>Guía descriptiva previa al uso de neuroguIA</w:t>
            </w:r>
          </w:p>
        </w:tc>
        <w:tc>
          <w:tcPr>
            <w:tcW w:type="dxa" w:w="2600"/>
            <w:shd w:fill="F2F4F7"/>
          </w:tcPr>
          <w:p>
            <w:pPr>
              <w:spacing w:after="0"/>
              <w:jc w:val="left"/>
            </w:pPr>
            <w:r>
              <w:rPr>
                <w:rFonts w:ascii="Calibri" w:hAnsi="Calibri"/>
                <w:b w:val="0"/>
                <w:i w:val="0"/>
                <w:color w:val="1F2937"/>
                <w:sz w:val="17"/>
              </w:rPr>
              <w:t>5 preguntas mixtas o abiertas; pretest.</w:t>
            </w:r>
          </w:p>
        </w:tc>
        <w:tc>
          <w:tcPr>
            <w:tcW w:type="dxa" w:w="3060"/>
            <w:shd w:fill="F2F4F7"/>
          </w:tcPr>
          <w:p>
            <w:pPr>
              <w:spacing w:after="0"/>
              <w:jc w:val="left"/>
            </w:pPr>
            <w:r>
              <w:rPr>
                <w:rFonts w:ascii="Calibri" w:hAnsi="Calibri"/>
                <w:b w:val="0"/>
                <w:i w:val="0"/>
                <w:color w:val="1F2937"/>
                <w:sz w:val="17"/>
              </w:rPr>
              <w:t>Análisis descriptivo o cualitativo. No es escala psicométrica.</w:t>
            </w:r>
          </w:p>
        </w:tc>
      </w:tr>
      <w:tr>
        <w:tc>
          <w:tcPr>
            <w:tcW w:type="dxa" w:w="1100"/>
          </w:tcPr>
          <w:p>
            <w:pPr>
              <w:spacing w:after="0"/>
              <w:jc w:val="center"/>
            </w:pPr>
            <w:r>
              <w:rPr>
                <w:rFonts w:ascii="Calibri" w:hAnsi="Calibri"/>
                <w:b w:val="0"/>
                <w:i w:val="0"/>
                <w:color w:val="1F2937"/>
                <w:sz w:val="17"/>
              </w:rPr>
              <w:t>POST5</w:t>
            </w:r>
          </w:p>
        </w:tc>
        <w:tc>
          <w:tcPr>
            <w:tcW w:type="dxa" w:w="2600"/>
          </w:tcPr>
          <w:p>
            <w:pPr>
              <w:spacing w:after="0"/>
              <w:jc w:val="left"/>
            </w:pPr>
            <w:r>
              <w:rPr>
                <w:rFonts w:ascii="Calibri" w:hAnsi="Calibri"/>
                <w:b w:val="0"/>
                <w:i w:val="0"/>
                <w:color w:val="1F2937"/>
                <w:sz w:val="17"/>
              </w:rPr>
              <w:t>Guía descriptiva posterior al uso de neuroguIA</w:t>
            </w:r>
          </w:p>
        </w:tc>
        <w:tc>
          <w:tcPr>
            <w:tcW w:type="dxa" w:w="2600"/>
          </w:tcPr>
          <w:p>
            <w:pPr>
              <w:spacing w:after="0"/>
              <w:jc w:val="left"/>
            </w:pPr>
            <w:r>
              <w:rPr>
                <w:rFonts w:ascii="Calibri" w:hAnsi="Calibri"/>
                <w:b w:val="0"/>
                <w:i w:val="0"/>
                <w:color w:val="1F2937"/>
                <w:sz w:val="17"/>
              </w:rPr>
              <w:t>5 preguntas mixtas o abiertas; postest.</w:t>
            </w:r>
          </w:p>
        </w:tc>
        <w:tc>
          <w:tcPr>
            <w:tcW w:type="dxa" w:w="3060"/>
          </w:tcPr>
          <w:p>
            <w:pPr>
              <w:spacing w:after="0"/>
              <w:jc w:val="left"/>
            </w:pPr>
            <w:r>
              <w:rPr>
                <w:rFonts w:ascii="Calibri" w:hAnsi="Calibri"/>
                <w:b w:val="0"/>
                <w:i w:val="0"/>
                <w:color w:val="1F2937"/>
                <w:sz w:val="17"/>
              </w:rPr>
              <w:t>Análisis descriptivo o cualitativo. No es escala psicométrica.</w:t>
            </w:r>
          </w:p>
        </w:tc>
      </w:tr>
      <w:tr>
        <w:tc>
          <w:tcPr>
            <w:tcW w:type="dxa" w:w="1100"/>
            <w:shd w:fill="F2F4F7"/>
          </w:tcPr>
          <w:p>
            <w:pPr>
              <w:spacing w:after="0"/>
              <w:jc w:val="center"/>
            </w:pPr>
            <w:r>
              <w:rPr>
                <w:rFonts w:ascii="Calibri" w:hAnsi="Calibri"/>
                <w:b w:val="0"/>
                <w:i w:val="0"/>
                <w:color w:val="1F2937"/>
                <w:sz w:val="17"/>
              </w:rPr>
              <w:t>WHOQOL26</w:t>
            </w:r>
          </w:p>
        </w:tc>
        <w:tc>
          <w:tcPr>
            <w:tcW w:type="dxa" w:w="2600"/>
            <w:shd w:fill="F2F4F7"/>
          </w:tcPr>
          <w:p>
            <w:pPr>
              <w:spacing w:after="0"/>
              <w:jc w:val="left"/>
            </w:pPr>
            <w:r>
              <w:rPr>
                <w:rFonts w:ascii="Calibri" w:hAnsi="Calibri"/>
                <w:b w:val="0"/>
                <w:i w:val="0"/>
                <w:color w:val="1F2937"/>
                <w:sz w:val="17"/>
              </w:rPr>
              <w:t>WHOQOL-BREF</w:t>
            </w:r>
          </w:p>
        </w:tc>
        <w:tc>
          <w:tcPr>
            <w:tcW w:type="dxa" w:w="2600"/>
            <w:shd w:fill="F2F4F7"/>
          </w:tcPr>
          <w:p>
            <w:pPr>
              <w:spacing w:after="0"/>
              <w:jc w:val="left"/>
            </w:pPr>
            <w:r>
              <w:rPr>
                <w:rFonts w:ascii="Calibri" w:hAnsi="Calibri"/>
                <w:b w:val="0"/>
                <w:i w:val="0"/>
                <w:color w:val="1F2937"/>
                <w:sz w:val="17"/>
              </w:rPr>
              <w:t>26 reactivos; Likert 1–5; pretest y postest.</w:t>
            </w:r>
          </w:p>
        </w:tc>
        <w:tc>
          <w:tcPr>
            <w:tcW w:type="dxa" w:w="3060"/>
            <w:shd w:fill="F2F4F7"/>
          </w:tcPr>
          <w:p>
            <w:pPr>
              <w:spacing w:after="0"/>
              <w:jc w:val="left"/>
            </w:pPr>
            <w:r>
              <w:rPr>
                <w:rFonts w:ascii="Calibri" w:hAnsi="Calibri"/>
                <w:b w:val="0"/>
                <w:i w:val="0"/>
                <w:color w:val="1F2937"/>
                <w:sz w:val="17"/>
              </w:rPr>
              <w:t>Cuatro dominios oficiales. El promedio de dominios puede presentarse solo como índice global descriptivo.</w:t>
            </w:r>
          </w:p>
        </w:tc>
      </w:tr>
    </w:tbl>
    <w:p>
      <w:pPr>
        <w:pStyle w:val="Heading1"/>
      </w:pPr>
      <w:r>
        <w:t>3. Reglas de puntuación</w:t>
      </w:r>
    </w:p>
    <w:p>
      <w:pPr>
        <w:pStyle w:val="Heading2"/>
      </w:pPr>
      <w:r>
        <w:t>3.1 Cuestionario DASS21_NG</w:t>
      </w:r>
    </w:p>
    <w:p>
      <w:r>
        <w:rPr>
          <w:rFonts w:ascii="Calibri" w:hAnsi="Calibri"/>
          <w:b w:val="0"/>
          <w:i w:val="0"/>
          <w:color w:val="1F2937"/>
          <w:sz w:val="22"/>
        </w:rPr>
        <w:t>Cada dominio se calcula sumando sus siete reactivos. La puntuación cruda de estrés, ansiedad o depresión se mantiene entre 0 y 21. Una puntuación mayor indica mayor presencia de indicadores de malestar en ese dominio.</w:t>
      </w:r>
    </w:p>
    <w:tbl>
      <w:tblPr>
        <w:tblW w:type="dxa" w:w="9360"/>
        <w:jc w:val="left"/>
        <w:tblLayout w:type="fixed"/>
        <w:tblLook w:firstColumn="1" w:firstRow="1" w:lastColumn="0" w:lastRow="0" w:noHBand="0" w:noVBand="1" w:val="04A0"/>
        <w:tblInd w:w="120" w:type="dxa"/>
        <w:tblBorders>
          <w:top w:val="single" w:sz="6" w:space="0" w:color="A7DAD5"/>
          <w:left w:val="single" w:sz="6" w:space="0" w:color="A7DAD5"/>
          <w:bottom w:val="single" w:sz="6" w:space="0" w:color="A7DAD5"/>
          <w:right w:val="single" w:sz="6" w:space="0" w:color="A7DAD5"/>
          <w:insideH w:val="single" w:sz="6" w:space="0" w:color="A7DAD5"/>
          <w:insideV w:val="single" w:sz="6" w:space="0" w:color="A7DAD5"/>
        </w:tblBorders>
      </w:tblPr>
      <w:tblGrid>
        <w:gridCol w:w="9360"/>
      </w:tblGrid>
      <w:tr>
        <w:tc>
          <w:tcPr>
            <w:tcW w:type="dxa" w:w="9360"/>
            <w:tcMar>
              <w:top w:w="80" w:type="dxa"/>
              <w:start w:w="120" w:type="dxa"/>
              <w:bottom w:w="80" w:type="dxa"/>
              <w:end w:w="120" w:type="dxa"/>
            </w:tcMar>
            <w:vAlign w:val="center"/>
            <w:shd w:fill="FFF3CD"/>
          </w:tcPr>
          <w:p>
            <w:pPr>
              <w:spacing w:after="60"/>
            </w:pPr>
            <w:r>
              <w:rPr>
                <w:rFonts w:ascii="Calibri" w:hAnsi="Calibri"/>
                <w:b/>
                <w:i w:val="0"/>
                <w:color w:val="203864"/>
                <w:sz w:val="22"/>
              </w:rPr>
              <w:t>Criterio de interpretación</w:t>
            </w:r>
          </w:p>
          <w:p>
            <w:pPr>
              <w:spacing w:after="0"/>
            </w:pPr>
            <w:r>
              <w:rPr>
                <w:rFonts w:ascii="Calibri" w:hAnsi="Calibri"/>
                <w:b w:val="0"/>
                <w:i w:val="0"/>
                <w:color w:val="1F2937"/>
                <w:sz w:val="21"/>
              </w:rPr>
              <w:t>El formato aplicado reformula los reactivos; por ello se presenta como cuestionario adaptado basado en la estructura tridimensional de la DASS-21. La regla oficial de la DASS-21 indica multiplicar por 2 las subescalas cuando se desea compararlas con datos normativos de la DASS-42. Esa equivalencia no debe aplicarse a este formato adaptado.</w:t>
            </w:r>
          </w:p>
        </w:tc>
      </w:tr>
    </w:tbl>
    <w:p>
      <w:pPr>
        <w:pStyle w:val="Heading2"/>
      </w:pPr>
      <w:r>
        <w:t>3.2 Índice de percepción de apoyo</w:t>
      </w:r>
    </w:p>
    <w:p>
      <w:r>
        <w:rPr>
          <w:rFonts w:ascii="Calibri" w:hAnsi="Calibri"/>
          <w:b w:val="0"/>
          <w:i w:val="0"/>
          <w:color w:val="1F2937"/>
          <w:sz w:val="22"/>
        </w:rPr>
        <w:t>La base individual conserva dos escalas equivalentes. La puntuación bruta se encuentra entre 20 y 100; la puntuación derivada se expresa entre 1 y 5.</w:t>
      </w:r>
    </w:p>
    <w:p>
      <w:pPr>
        <w:spacing w:before="120" w:after="160"/>
        <w:jc w:val="center"/>
      </w:pPr>
      <w:r>
        <w:rPr>
          <w:rFonts w:ascii="Calibri" w:hAnsi="Calibri"/>
          <w:b/>
          <w:i w:val="0"/>
          <w:color w:val="4B2E83"/>
          <w:sz w:val="24"/>
        </w:rPr>
        <w:t>Apoyo (1–5) = Apoyo bruto (20–100) / 20</w:t>
      </w:r>
    </w:p>
    <w:p>
      <w:r>
        <w:rPr>
          <w:rFonts w:ascii="Calibri" w:hAnsi="Calibri"/>
          <w:b w:val="0"/>
          <w:i w:val="0"/>
          <w:color w:val="1F2937"/>
          <w:sz w:val="22"/>
        </w:rPr>
        <w:t>Los análisis pretest–postest deben usar una sola representación por modelo para evitar duplicar la misma variable. En tablas y figuras se recomienda la escala 1–5 por su lectura más directa, conservando el valor bruto en la base.</w:t>
      </w:r>
    </w:p>
    <w:p>
      <w:pPr>
        <w:pStyle w:val="Heading2"/>
      </w:pPr>
      <w:r>
        <w:t>3.3 WHOQOL-BREF</w:t>
      </w: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00"/>
        <w:gridCol w:w="5860"/>
        <w:gridCol w:w="1100"/>
      </w:tblGrid>
      <w:tr>
        <w:trPr>
          <w:tblHeader w:val="true"/>
        </w:trPr>
        <w:tc>
          <w:tcPr>
            <w:tcW w:type="dxa" w:w="2400"/>
            <w:tcMar>
              <w:top w:w="80" w:type="dxa"/>
              <w:start w:w="120" w:type="dxa"/>
              <w:bottom w:w="80" w:type="dxa"/>
              <w:end w:w="120" w:type="dxa"/>
            </w:tcMar>
            <w:vAlign w:val="center"/>
            <w:shd w:fill="4B2E83"/>
          </w:tcPr>
          <w:p>
            <w:pPr>
              <w:spacing w:after="0"/>
              <w:jc w:val="center"/>
            </w:pPr>
            <w:r>
              <w:rPr>
                <w:rFonts w:ascii="Calibri" w:hAnsi="Calibri"/>
                <w:b/>
                <w:i w:val="0"/>
                <w:color w:val="FFFFFF"/>
                <w:sz w:val="17"/>
              </w:rPr>
              <w:t>Dominio</w:t>
            </w:r>
          </w:p>
        </w:tc>
        <w:tc>
          <w:tcPr>
            <w:tcW w:type="dxa" w:w="5860"/>
            <w:tcMar>
              <w:top w:w="80" w:type="dxa"/>
              <w:start w:w="120" w:type="dxa"/>
              <w:bottom w:w="80" w:type="dxa"/>
              <w:end w:w="120" w:type="dxa"/>
            </w:tcMar>
            <w:vAlign w:val="center"/>
            <w:shd w:fill="4B2E83"/>
          </w:tcPr>
          <w:p>
            <w:pPr>
              <w:spacing w:after="0"/>
              <w:jc w:val="center"/>
            </w:pPr>
            <w:r>
              <w:rPr>
                <w:rFonts w:ascii="Calibri" w:hAnsi="Calibri"/>
                <w:b/>
                <w:i w:val="0"/>
                <w:color w:val="FFFFFF"/>
                <w:sz w:val="17"/>
              </w:rPr>
              <w:t>Reactivos</w:t>
            </w:r>
          </w:p>
        </w:tc>
        <w:tc>
          <w:tcPr>
            <w:tcW w:type="dxa" w:w="1100"/>
            <w:tcMar>
              <w:top w:w="80" w:type="dxa"/>
              <w:start w:w="120" w:type="dxa"/>
              <w:bottom w:w="80" w:type="dxa"/>
              <w:end w:w="120" w:type="dxa"/>
            </w:tcMar>
            <w:vAlign w:val="center"/>
            <w:shd w:fill="4B2E83"/>
          </w:tcPr>
          <w:p>
            <w:pPr>
              <w:spacing w:after="0"/>
              <w:jc w:val="center"/>
            </w:pPr>
            <w:r>
              <w:rPr>
                <w:rFonts w:ascii="Calibri" w:hAnsi="Calibri"/>
                <w:b/>
                <w:i w:val="0"/>
                <w:color w:val="FFFFFF"/>
                <w:sz w:val="17"/>
              </w:rPr>
              <w:t>n</w:t>
            </w:r>
          </w:p>
        </w:tc>
      </w:tr>
      <w:tr>
        <w:tc>
          <w:tcPr>
            <w:tcW w:type="dxa" w:w="2400"/>
          </w:tcPr>
          <w:p>
            <w:pPr>
              <w:spacing w:after="0"/>
              <w:jc w:val="center"/>
            </w:pPr>
            <w:r>
              <w:rPr>
                <w:rFonts w:ascii="Calibri" w:hAnsi="Calibri"/>
                <w:b w:val="0"/>
                <w:i w:val="0"/>
                <w:color w:val="1F2937"/>
                <w:sz w:val="17"/>
              </w:rPr>
              <w:t>Físico</w:t>
            </w:r>
          </w:p>
        </w:tc>
        <w:tc>
          <w:tcPr>
            <w:tcW w:type="dxa" w:w="5860"/>
          </w:tcPr>
          <w:p>
            <w:pPr>
              <w:spacing w:after="0"/>
              <w:jc w:val="left"/>
            </w:pPr>
            <w:r>
              <w:rPr>
                <w:rFonts w:ascii="Calibri" w:hAnsi="Calibri"/>
                <w:b w:val="0"/>
                <w:i w:val="0"/>
                <w:color w:val="1F2937"/>
                <w:sz w:val="17"/>
              </w:rPr>
              <w:t>3, 4, 10, 15, 16, 17 y 18</w:t>
            </w:r>
          </w:p>
        </w:tc>
        <w:tc>
          <w:tcPr>
            <w:tcW w:type="dxa" w:w="1100"/>
          </w:tcPr>
          <w:p>
            <w:pPr>
              <w:spacing w:after="0"/>
              <w:jc w:val="left"/>
            </w:pPr>
            <w:r>
              <w:rPr>
                <w:rFonts w:ascii="Calibri" w:hAnsi="Calibri"/>
                <w:b w:val="0"/>
                <w:i w:val="0"/>
                <w:color w:val="1F2937"/>
                <w:sz w:val="17"/>
              </w:rPr>
              <w:t>7</w:t>
            </w:r>
          </w:p>
        </w:tc>
      </w:tr>
      <w:tr>
        <w:tc>
          <w:tcPr>
            <w:tcW w:type="dxa" w:w="2400"/>
            <w:shd w:fill="F2F4F7"/>
          </w:tcPr>
          <w:p>
            <w:pPr>
              <w:spacing w:after="0"/>
              <w:jc w:val="center"/>
            </w:pPr>
            <w:r>
              <w:rPr>
                <w:rFonts w:ascii="Calibri" w:hAnsi="Calibri"/>
                <w:b w:val="0"/>
                <w:i w:val="0"/>
                <w:color w:val="1F2937"/>
                <w:sz w:val="17"/>
              </w:rPr>
              <w:t>Psicológico</w:t>
            </w:r>
          </w:p>
        </w:tc>
        <w:tc>
          <w:tcPr>
            <w:tcW w:type="dxa" w:w="5860"/>
            <w:shd w:fill="F2F4F7"/>
          </w:tcPr>
          <w:p>
            <w:pPr>
              <w:spacing w:after="0"/>
              <w:jc w:val="left"/>
            </w:pPr>
            <w:r>
              <w:rPr>
                <w:rFonts w:ascii="Calibri" w:hAnsi="Calibri"/>
                <w:b w:val="0"/>
                <w:i w:val="0"/>
                <w:color w:val="1F2937"/>
                <w:sz w:val="17"/>
              </w:rPr>
              <w:t>5, 6, 7, 11, 19 y 26</w:t>
            </w:r>
          </w:p>
        </w:tc>
        <w:tc>
          <w:tcPr>
            <w:tcW w:type="dxa" w:w="1100"/>
            <w:shd w:fill="F2F4F7"/>
          </w:tcPr>
          <w:p>
            <w:pPr>
              <w:spacing w:after="0"/>
              <w:jc w:val="left"/>
            </w:pPr>
            <w:r>
              <w:rPr>
                <w:rFonts w:ascii="Calibri" w:hAnsi="Calibri"/>
                <w:b w:val="0"/>
                <w:i w:val="0"/>
                <w:color w:val="1F2937"/>
                <w:sz w:val="17"/>
              </w:rPr>
              <w:t>6</w:t>
            </w:r>
          </w:p>
        </w:tc>
      </w:tr>
      <w:tr>
        <w:tc>
          <w:tcPr>
            <w:tcW w:type="dxa" w:w="2400"/>
          </w:tcPr>
          <w:p>
            <w:pPr>
              <w:spacing w:after="0"/>
              <w:jc w:val="center"/>
            </w:pPr>
            <w:r>
              <w:rPr>
                <w:rFonts w:ascii="Calibri" w:hAnsi="Calibri"/>
                <w:b w:val="0"/>
                <w:i w:val="0"/>
                <w:color w:val="1F2937"/>
                <w:sz w:val="17"/>
              </w:rPr>
              <w:t>Relaciones sociales</w:t>
            </w:r>
          </w:p>
        </w:tc>
        <w:tc>
          <w:tcPr>
            <w:tcW w:type="dxa" w:w="5860"/>
          </w:tcPr>
          <w:p>
            <w:pPr>
              <w:spacing w:after="0"/>
              <w:jc w:val="left"/>
            </w:pPr>
            <w:r>
              <w:rPr>
                <w:rFonts w:ascii="Calibri" w:hAnsi="Calibri"/>
                <w:b w:val="0"/>
                <w:i w:val="0"/>
                <w:color w:val="1F2937"/>
                <w:sz w:val="17"/>
              </w:rPr>
              <w:t>20, 21 y 22</w:t>
            </w:r>
          </w:p>
        </w:tc>
        <w:tc>
          <w:tcPr>
            <w:tcW w:type="dxa" w:w="1100"/>
          </w:tcPr>
          <w:p>
            <w:pPr>
              <w:spacing w:after="0"/>
              <w:jc w:val="left"/>
            </w:pPr>
            <w:r>
              <w:rPr>
                <w:rFonts w:ascii="Calibri" w:hAnsi="Calibri"/>
                <w:b w:val="0"/>
                <w:i w:val="0"/>
                <w:color w:val="1F2937"/>
                <w:sz w:val="17"/>
              </w:rPr>
              <w:t>3</w:t>
            </w:r>
          </w:p>
        </w:tc>
      </w:tr>
      <w:tr>
        <w:tc>
          <w:tcPr>
            <w:tcW w:type="dxa" w:w="2400"/>
            <w:shd w:fill="F2F4F7"/>
          </w:tcPr>
          <w:p>
            <w:pPr>
              <w:spacing w:after="0"/>
              <w:jc w:val="center"/>
            </w:pPr>
            <w:r>
              <w:rPr>
                <w:rFonts w:ascii="Calibri" w:hAnsi="Calibri"/>
                <w:b w:val="0"/>
                <w:i w:val="0"/>
                <w:color w:val="1F2937"/>
                <w:sz w:val="17"/>
              </w:rPr>
              <w:t>Entorno</w:t>
            </w:r>
          </w:p>
        </w:tc>
        <w:tc>
          <w:tcPr>
            <w:tcW w:type="dxa" w:w="5860"/>
            <w:shd w:fill="F2F4F7"/>
          </w:tcPr>
          <w:p>
            <w:pPr>
              <w:spacing w:after="0"/>
              <w:jc w:val="left"/>
            </w:pPr>
            <w:r>
              <w:rPr>
                <w:rFonts w:ascii="Calibri" w:hAnsi="Calibri"/>
                <w:b w:val="0"/>
                <w:i w:val="0"/>
                <w:color w:val="1F2937"/>
                <w:sz w:val="17"/>
              </w:rPr>
              <w:t>8, 9, 12, 13, 14, 23, 24 y 25</w:t>
            </w:r>
          </w:p>
        </w:tc>
        <w:tc>
          <w:tcPr>
            <w:tcW w:type="dxa" w:w="1100"/>
            <w:shd w:fill="F2F4F7"/>
          </w:tcPr>
          <w:p>
            <w:pPr>
              <w:spacing w:after="0"/>
              <w:jc w:val="left"/>
            </w:pPr>
            <w:r>
              <w:rPr>
                <w:rFonts w:ascii="Calibri" w:hAnsi="Calibri"/>
                <w:b w:val="0"/>
                <w:i w:val="0"/>
                <w:color w:val="1F2937"/>
                <w:sz w:val="17"/>
              </w:rPr>
              <w:t>8</w:t>
            </w:r>
          </w:p>
        </w:tc>
      </w:tr>
    </w:tbl>
    <w:p>
      <w:r>
        <w:rPr>
          <w:rFonts w:ascii="Calibri" w:hAnsi="Calibri"/>
          <w:b w:val="0"/>
          <w:i w:val="0"/>
          <w:color w:val="1F2937"/>
          <w:sz w:val="22"/>
        </w:rPr>
        <w:t>Los reactivos 3, 4 y 26 se invierten. Los puntajes de dominio se calculan en dirección positiva y pueden transformarse a 0–100. Los reactivos 1 y 2 describen calidad de vida general y satisfacción con la salud, pero no integran los cuatro dominios.</w:t>
      </w:r>
    </w:p>
    <w:p>
      <w:pPr>
        <w:spacing w:before="120" w:after="160"/>
        <w:jc w:val="center"/>
      </w:pPr>
      <w:r>
        <w:rPr>
          <w:rFonts w:ascii="Calibri" w:hAnsi="Calibri"/>
          <w:b/>
          <w:i w:val="0"/>
          <w:color w:val="4B2E83"/>
          <w:sz w:val="24"/>
        </w:rPr>
        <w:t>Dominio 0–100 = (media de reactivos corregidos − 1) × 25</w:t>
      </w:r>
    </w:p>
    <w:p>
      <w:r>
        <w:rPr>
          <w:rFonts w:ascii="Calibri" w:hAnsi="Calibri"/>
          <w:b w:val="0"/>
          <w:i w:val="0"/>
          <w:color w:val="1F2937"/>
          <w:sz w:val="22"/>
        </w:rPr>
        <w:t>El denominado “global descriptivo” se calcula como la media de los cuatro dominios transformados. Debe identificarse expresamente como indicador complementario creado para el análisis y no como un quinto dominio oficial del WHOQOL-BREF.</w:t>
      </w:r>
    </w:p>
    <w:p>
      <w:pPr>
        <w:pStyle w:val="Heading1"/>
      </w:pPr>
      <w:r>
        <w:t>4. Confiabilidad y análisis permitidos</w:t>
      </w: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00"/>
        <w:gridCol w:w="2500"/>
        <w:gridCol w:w="5060"/>
      </w:tblGrid>
      <w:tr>
        <w:trPr>
          <w:tblHeader w:val="true"/>
        </w:trPr>
        <w:tc>
          <w:tcPr>
            <w:tcW w:type="dxa" w:w="1800"/>
            <w:tcMar>
              <w:top w:w="80" w:type="dxa"/>
              <w:start w:w="120" w:type="dxa"/>
              <w:bottom w:w="80" w:type="dxa"/>
              <w:end w:w="120" w:type="dxa"/>
            </w:tcMar>
            <w:vAlign w:val="center"/>
            <w:shd w:fill="4B2E83"/>
          </w:tcPr>
          <w:p>
            <w:pPr>
              <w:spacing w:after="0"/>
              <w:jc w:val="center"/>
            </w:pPr>
            <w:r>
              <w:rPr>
                <w:rFonts w:ascii="Calibri" w:hAnsi="Calibri"/>
                <w:b/>
                <w:i w:val="0"/>
                <w:color w:val="FFFFFF"/>
                <w:sz w:val="17"/>
              </w:rPr>
              <w:t>Componente</w:t>
            </w:r>
          </w:p>
        </w:tc>
        <w:tc>
          <w:tcPr>
            <w:tcW w:type="dxa" w:w="2500"/>
            <w:tcMar>
              <w:top w:w="80" w:type="dxa"/>
              <w:start w:w="120" w:type="dxa"/>
              <w:bottom w:w="80" w:type="dxa"/>
              <w:end w:w="120" w:type="dxa"/>
            </w:tcMar>
            <w:vAlign w:val="center"/>
            <w:shd w:fill="4B2E83"/>
          </w:tcPr>
          <w:p>
            <w:pPr>
              <w:spacing w:after="0"/>
              <w:jc w:val="center"/>
            </w:pPr>
            <w:r>
              <w:rPr>
                <w:rFonts w:ascii="Calibri" w:hAnsi="Calibri"/>
                <w:b/>
                <w:i w:val="0"/>
                <w:color w:val="FFFFFF"/>
                <w:sz w:val="17"/>
              </w:rPr>
              <w:t>Consistencia interna</w:t>
            </w:r>
          </w:p>
        </w:tc>
        <w:tc>
          <w:tcPr>
            <w:tcW w:type="dxa" w:w="5060"/>
            <w:tcMar>
              <w:top w:w="80" w:type="dxa"/>
              <w:start w:w="120" w:type="dxa"/>
              <w:bottom w:w="80" w:type="dxa"/>
              <w:end w:w="120" w:type="dxa"/>
            </w:tcMar>
            <w:vAlign w:val="center"/>
            <w:shd w:fill="4B2E83"/>
          </w:tcPr>
          <w:p>
            <w:pPr>
              <w:spacing w:after="0"/>
              <w:jc w:val="center"/>
            </w:pPr>
            <w:r>
              <w:rPr>
                <w:rFonts w:ascii="Calibri" w:hAnsi="Calibri"/>
                <w:b/>
                <w:i w:val="0"/>
                <w:color w:val="FFFFFF"/>
                <w:sz w:val="17"/>
              </w:rPr>
              <w:t>Análisis defendible</w:t>
            </w:r>
          </w:p>
        </w:tc>
      </w:tr>
      <w:tr>
        <w:tc>
          <w:tcPr>
            <w:tcW w:type="dxa" w:w="1800"/>
          </w:tcPr>
          <w:p>
            <w:pPr>
              <w:spacing w:after="0"/>
              <w:jc w:val="center"/>
            </w:pPr>
            <w:r>
              <w:rPr>
                <w:rFonts w:ascii="Calibri" w:hAnsi="Calibri"/>
                <w:b w:val="0"/>
                <w:i w:val="0"/>
                <w:color w:val="1F2937"/>
                <w:sz w:val="17"/>
              </w:rPr>
              <w:t>DASS21_NG</w:t>
            </w:r>
          </w:p>
        </w:tc>
        <w:tc>
          <w:tcPr>
            <w:tcW w:type="dxa" w:w="2500"/>
          </w:tcPr>
          <w:p>
            <w:pPr>
              <w:spacing w:after="0"/>
              <w:jc w:val="left"/>
            </w:pPr>
            <w:r>
              <w:rPr>
                <w:rFonts w:ascii="Calibri" w:hAnsi="Calibri"/>
                <w:b w:val="0"/>
                <w:i w:val="0"/>
                <w:color w:val="1F2937"/>
                <w:sz w:val="17"/>
              </w:rPr>
              <w:t>No disponible por reactivo.</w:t>
            </w:r>
          </w:p>
        </w:tc>
        <w:tc>
          <w:tcPr>
            <w:tcW w:type="dxa" w:w="5060"/>
          </w:tcPr>
          <w:p>
            <w:pPr>
              <w:spacing w:after="0"/>
              <w:jc w:val="left"/>
            </w:pPr>
            <w:r>
              <w:rPr>
                <w:rFonts w:ascii="Calibri" w:hAnsi="Calibri"/>
                <w:b w:val="0"/>
                <w:i w:val="0"/>
                <w:color w:val="1F2937"/>
                <w:sz w:val="17"/>
              </w:rPr>
              <w:t>Comparaciones de puntuaciones de dominio. No reportar alfa ni validez del DASS-21 original como propiedad de esta adaptación.</w:t>
            </w:r>
          </w:p>
        </w:tc>
      </w:tr>
      <w:tr>
        <w:tc>
          <w:tcPr>
            <w:tcW w:type="dxa" w:w="1800"/>
            <w:shd w:fill="F2F4F7"/>
          </w:tcPr>
          <w:p>
            <w:pPr>
              <w:spacing w:after="0"/>
              <w:jc w:val="center"/>
            </w:pPr>
            <w:r>
              <w:rPr>
                <w:rFonts w:ascii="Calibri" w:hAnsi="Calibri"/>
                <w:b w:val="0"/>
                <w:i w:val="0"/>
                <w:color w:val="1F2937"/>
                <w:sz w:val="17"/>
              </w:rPr>
              <w:t>APOYO_IDX</w:t>
            </w:r>
          </w:p>
        </w:tc>
        <w:tc>
          <w:tcPr>
            <w:tcW w:type="dxa" w:w="2500"/>
            <w:shd w:fill="F2F4F7"/>
          </w:tcPr>
          <w:p>
            <w:pPr>
              <w:spacing w:after="0"/>
              <w:jc w:val="left"/>
            </w:pPr>
            <w:r>
              <w:rPr>
                <w:rFonts w:ascii="Calibri" w:hAnsi="Calibri"/>
                <w:b w:val="0"/>
                <w:i w:val="0"/>
                <w:color w:val="1F2937"/>
                <w:sz w:val="17"/>
              </w:rPr>
              <w:t>No calculable: se conserva el índice total.</w:t>
            </w:r>
          </w:p>
        </w:tc>
        <w:tc>
          <w:tcPr>
            <w:tcW w:type="dxa" w:w="5060"/>
            <w:shd w:fill="F2F4F7"/>
          </w:tcPr>
          <w:p>
            <w:pPr>
              <w:spacing w:after="0"/>
              <w:jc w:val="left"/>
            </w:pPr>
            <w:r>
              <w:rPr>
                <w:rFonts w:ascii="Calibri" w:hAnsi="Calibri"/>
                <w:b w:val="0"/>
                <w:i w:val="0"/>
                <w:color w:val="1F2937"/>
                <w:sz w:val="17"/>
              </w:rPr>
              <w:t>Descriptivos, cambio pretest–postest, ANCOVA y tamaño del efecto sobre el índice.</w:t>
            </w:r>
          </w:p>
        </w:tc>
      </w:tr>
      <w:tr>
        <w:tc>
          <w:tcPr>
            <w:tcW w:type="dxa" w:w="1800"/>
          </w:tcPr>
          <w:p>
            <w:pPr>
              <w:spacing w:after="0"/>
              <w:jc w:val="center"/>
            </w:pPr>
            <w:r>
              <w:rPr>
                <w:rFonts w:ascii="Calibri" w:hAnsi="Calibri"/>
                <w:b w:val="0"/>
                <w:i w:val="0"/>
                <w:color w:val="1F2937"/>
                <w:sz w:val="17"/>
              </w:rPr>
              <w:t>APOYO10 / UTIL10</w:t>
            </w:r>
          </w:p>
        </w:tc>
        <w:tc>
          <w:tcPr>
            <w:tcW w:type="dxa" w:w="2500"/>
          </w:tcPr>
          <w:p>
            <w:pPr>
              <w:spacing w:after="0"/>
              <w:jc w:val="left"/>
            </w:pPr>
            <w:r>
              <w:rPr>
                <w:rFonts w:ascii="Calibri" w:hAnsi="Calibri"/>
                <w:b w:val="0"/>
                <w:i w:val="0"/>
                <w:color w:val="1F2937"/>
                <w:sz w:val="17"/>
              </w:rPr>
              <w:t>No disponible por reactivo.</w:t>
            </w:r>
          </w:p>
        </w:tc>
        <w:tc>
          <w:tcPr>
            <w:tcW w:type="dxa" w:w="5060"/>
          </w:tcPr>
          <w:p>
            <w:pPr>
              <w:spacing w:after="0"/>
              <w:jc w:val="left"/>
            </w:pPr>
            <w:r>
              <w:rPr>
                <w:rFonts w:ascii="Calibri" w:hAnsi="Calibri"/>
                <w:b w:val="0"/>
                <w:i w:val="0"/>
                <w:color w:val="1F2937"/>
                <w:sz w:val="17"/>
              </w:rPr>
              <w:t>Frecuencias, medias por ítem y resumen exploratorio. No reportar alfa.</w:t>
            </w:r>
          </w:p>
        </w:tc>
      </w:tr>
      <w:tr>
        <w:tc>
          <w:tcPr>
            <w:tcW w:type="dxa" w:w="1800"/>
            <w:shd w:fill="F2F4F7"/>
          </w:tcPr>
          <w:p>
            <w:pPr>
              <w:spacing w:after="0"/>
              <w:jc w:val="center"/>
            </w:pPr>
            <w:r>
              <w:rPr>
                <w:rFonts w:ascii="Calibri" w:hAnsi="Calibri"/>
                <w:b w:val="0"/>
                <w:i w:val="0"/>
                <w:color w:val="1F2937"/>
                <w:sz w:val="17"/>
              </w:rPr>
              <w:t>PRE5 / POST5</w:t>
            </w:r>
          </w:p>
        </w:tc>
        <w:tc>
          <w:tcPr>
            <w:tcW w:type="dxa" w:w="2500"/>
            <w:shd w:fill="F2F4F7"/>
          </w:tcPr>
          <w:p>
            <w:pPr>
              <w:spacing w:after="0"/>
              <w:jc w:val="left"/>
            </w:pPr>
            <w:r>
              <w:rPr>
                <w:rFonts w:ascii="Calibri" w:hAnsi="Calibri"/>
                <w:b w:val="0"/>
                <w:i w:val="0"/>
                <w:color w:val="1F2937"/>
                <w:sz w:val="17"/>
              </w:rPr>
              <w:t>No aplica.</w:t>
            </w:r>
          </w:p>
        </w:tc>
        <w:tc>
          <w:tcPr>
            <w:tcW w:type="dxa" w:w="5060"/>
            <w:shd w:fill="F2F4F7"/>
          </w:tcPr>
          <w:p>
            <w:pPr>
              <w:spacing w:after="0"/>
              <w:jc w:val="left"/>
            </w:pPr>
            <w:r>
              <w:rPr>
                <w:rFonts w:ascii="Calibri" w:hAnsi="Calibri"/>
                <w:b w:val="0"/>
                <w:i w:val="0"/>
                <w:color w:val="1F2937"/>
                <w:sz w:val="17"/>
              </w:rPr>
              <w:t>Análisis descriptivo o cualitativo de respuestas.</w:t>
            </w:r>
          </w:p>
        </w:tc>
      </w:tr>
      <w:tr>
        <w:tc>
          <w:tcPr>
            <w:tcW w:type="dxa" w:w="1800"/>
          </w:tcPr>
          <w:p>
            <w:pPr>
              <w:spacing w:after="0"/>
              <w:jc w:val="center"/>
            </w:pPr>
            <w:r>
              <w:rPr>
                <w:rFonts w:ascii="Calibri" w:hAnsi="Calibri"/>
                <w:b w:val="0"/>
                <w:i w:val="0"/>
                <w:color w:val="1F2937"/>
                <w:sz w:val="17"/>
              </w:rPr>
              <w:t>WHOQOL-BREF</w:t>
            </w:r>
          </w:p>
        </w:tc>
        <w:tc>
          <w:tcPr>
            <w:tcW w:type="dxa" w:w="2500"/>
          </w:tcPr>
          <w:p>
            <w:pPr>
              <w:spacing w:after="0"/>
              <w:jc w:val="left"/>
            </w:pPr>
            <w:r>
              <w:rPr>
                <w:rFonts w:ascii="Calibri" w:hAnsi="Calibri"/>
                <w:b w:val="0"/>
                <w:i w:val="0"/>
                <w:color w:val="1F2937"/>
                <w:sz w:val="17"/>
              </w:rPr>
              <w:t>Recalculada por dominio y momento.</w:t>
            </w:r>
          </w:p>
        </w:tc>
        <w:tc>
          <w:tcPr>
            <w:tcW w:type="dxa" w:w="5060"/>
          </w:tcPr>
          <w:p>
            <w:pPr>
              <w:spacing w:after="0"/>
              <w:jc w:val="left"/>
            </w:pPr>
            <w:r>
              <w:rPr>
                <w:rFonts w:ascii="Calibri" w:hAnsi="Calibri"/>
                <w:b w:val="0"/>
                <w:i w:val="0"/>
                <w:color w:val="1F2937"/>
                <w:sz w:val="17"/>
              </w:rPr>
              <w:t>α observado entre 0.639 y 0.858. Reportar cada dominio por separado; no usar un alfa global no reproducible.</w:t>
            </w:r>
          </w:p>
        </w:tc>
      </w:tr>
    </w:tbl>
    <w:p>
      <w:pPr>
        <w:pStyle w:val="Heading1"/>
      </w:pPr>
      <w:r>
        <w:t>5. Texto listo para el capítulo 4</w:t>
      </w:r>
    </w:p>
    <w:p>
      <w:pPr>
        <w:pStyle w:val="Heading2"/>
      </w:pPr>
      <w:r>
        <w:t>Instrumentos de recolección y medición</w:t>
      </w:r>
    </w:p>
    <w:p>
      <w:r>
        <w:rPr>
          <w:rFonts w:ascii="Calibri" w:hAnsi="Calibri"/>
          <w:b w:val="0"/>
          <w:i w:val="0"/>
          <w:color w:val="1F2937"/>
          <w:sz w:val="22"/>
        </w:rPr>
        <w:t>La recolección de información integró instrumentos de caracterización, medición socioemocional, calidad de vida, experiencia de uso y registros operativos. La ficha sociodemográfica reunió 14 campos relacionados con edad, sexo, parentesco, escolaridad, ocupación, número de hijos, contexto familiar y disponibilidad tecnológica. Su función fue describir la muestra y apoyar la interpretación de los resultados, sin generar una puntuación global.</w:t>
      </w:r>
    </w:p>
    <w:p>
      <w:r>
        <w:rPr>
          <w:rFonts w:ascii="Calibri" w:hAnsi="Calibri"/>
          <w:b w:val="0"/>
          <w:i w:val="0"/>
          <w:color w:val="1F2937"/>
          <w:sz w:val="22"/>
        </w:rPr>
        <w:t>El malestar emocional se evaluó mediante el cuestionario DASS21_NG, una adaptación propia basada en la organización tridimensional de la DASS-21. El formato contiene 21 reactivos con opciones de respuesta de 0 a 3 y distribuye siete reactivos en cada dominio: estrés, ansiedad y depresión. Las puntuaciones se obtuvieron mediante suma cruda por dominio, con rango de 0 a 21. Debido a que los enunciados fueron contextualizados, los resultados se interpretaron como indicadores dimensionales del estudio y no se utilizaron para diagnóstico ni para asignar categorías clínicas.</w:t>
      </w:r>
    </w:p>
    <w:p>
      <w:r>
        <w:rPr>
          <w:rFonts w:ascii="Calibri" w:hAnsi="Calibri"/>
          <w:b w:val="0"/>
          <w:i w:val="0"/>
          <w:color w:val="1F2937"/>
          <w:sz w:val="22"/>
        </w:rPr>
        <w:t>La percepción de apoyo se examinó mediante un índice registrado en las mediciones pretest y postest. La base conservó una puntuación bruta de 20 a 100 y su transformación a una escala de 1 a 5, calculada al dividir el valor bruto entre 20. Este indicador se utilizó como variable complementaria de apoyo percibido y se analizó de manera descriptiva e inferencial junto con las puntuaciones emocionales.</w:t>
      </w:r>
    </w:p>
    <w:p>
      <w:r>
        <w:rPr>
          <w:rFonts w:ascii="Calibri" w:hAnsi="Calibri"/>
          <w:b w:val="0"/>
          <w:i w:val="0"/>
          <w:color w:val="1F2937"/>
          <w:sz w:val="22"/>
        </w:rPr>
        <w:t>La calidad de vida se evaluó mediante el WHOQOL-BREF de 26 reactivos. Se calcularon los cuatro dominios establecidos por la Organización Mundial de la Salud: físico, psicológico, relaciones sociales y entorno. Los puntajes fueron orientados en dirección positiva y transformados a una escala de 0 a 100. De manera complementaria se calculó un índice global descriptivo como promedio de los cuatro dominios; dicho indicador no se consideró un quinto dominio oficial.</w:t>
      </w:r>
    </w:p>
    <w:p>
      <w:r>
        <w:rPr>
          <w:rFonts w:ascii="Calibri" w:hAnsi="Calibri"/>
          <w:b w:val="0"/>
          <w:i w:val="0"/>
          <w:color w:val="1F2937"/>
          <w:sz w:val="22"/>
        </w:rPr>
        <w:t>Después del periodo de uso se aplicaron dos cuestionarios propios de diez reactivos: experiencia de acompañamiento y utilidad tecnológica. Ambos utilizaron una escala Likert de 1 a 5 y se analizaron como indicadores descriptivos de percepción, claridad, utilidad, facilidad de uso, seguridad e intención de continuidad. Las guías pretest y postest de cinco preguntas se utilizaron como apoyo descriptivo y no como escalas psicométricas.</w:t>
      </w:r>
    </w:p>
    <w:p>
      <w:r>
        <w:rPr>
          <w:rFonts w:ascii="Calibri" w:hAnsi="Calibri"/>
          <w:b w:val="0"/>
          <w:i w:val="0"/>
          <w:color w:val="1F2937"/>
          <w:sz w:val="22"/>
        </w:rPr>
        <w:t>La consistencia interna se recalculó únicamente cuando existieron respuestas por reactivo. En el WHOQOL-BREF, los coeficientes alfa se estimaron por dominio, grupo y momento. Para los componentes que solo conservaron puntuaciones totales, no se estimaron coeficientes de confiabilidad retrospectivos.</w:t>
      </w:r>
    </w:p>
    <w:p>
      <w:pPr>
        <w:pStyle w:val="Heading1"/>
      </w:pPr>
      <w:r>
        <w:t>6. Criterios de reporte para el capítulo 6</w:t>
      </w: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00"/>
        <w:gridCol w:w="4300"/>
        <w:gridCol w:w="2960"/>
      </w:tblGrid>
      <w:tr>
        <w:trPr>
          <w:tblHeader w:val="true"/>
        </w:trPr>
        <w:tc>
          <w:tcPr>
            <w:tcW w:type="dxa" w:w="2100"/>
            <w:tcMar>
              <w:top w:w="80" w:type="dxa"/>
              <w:start w:w="120" w:type="dxa"/>
              <w:bottom w:w="80" w:type="dxa"/>
              <w:end w:w="120" w:type="dxa"/>
            </w:tcMar>
            <w:vAlign w:val="center"/>
            <w:shd w:fill="4B2E83"/>
          </w:tcPr>
          <w:p>
            <w:pPr>
              <w:spacing w:after="0"/>
              <w:jc w:val="center"/>
            </w:pPr>
            <w:r>
              <w:rPr>
                <w:rFonts w:ascii="Calibri" w:hAnsi="Calibri"/>
                <w:b/>
                <w:i w:val="0"/>
                <w:color w:val="FFFFFF"/>
                <w:sz w:val="17"/>
              </w:rPr>
              <w:t>Resultado</w:t>
            </w:r>
          </w:p>
        </w:tc>
        <w:tc>
          <w:tcPr>
            <w:tcW w:type="dxa" w:w="4300"/>
            <w:tcMar>
              <w:top w:w="80" w:type="dxa"/>
              <w:start w:w="120" w:type="dxa"/>
              <w:bottom w:w="80" w:type="dxa"/>
              <w:end w:w="120" w:type="dxa"/>
            </w:tcMar>
            <w:vAlign w:val="center"/>
            <w:shd w:fill="4B2E83"/>
          </w:tcPr>
          <w:p>
            <w:pPr>
              <w:spacing w:after="0"/>
              <w:jc w:val="center"/>
            </w:pPr>
            <w:r>
              <w:rPr>
                <w:rFonts w:ascii="Calibri" w:hAnsi="Calibri"/>
                <w:b/>
                <w:i w:val="0"/>
                <w:color w:val="FFFFFF"/>
                <w:sz w:val="17"/>
              </w:rPr>
              <w:t>Redacción recomendada</w:t>
            </w:r>
          </w:p>
        </w:tc>
        <w:tc>
          <w:tcPr>
            <w:tcW w:type="dxa" w:w="2960"/>
            <w:tcMar>
              <w:top w:w="80" w:type="dxa"/>
              <w:start w:w="120" w:type="dxa"/>
              <w:bottom w:w="80" w:type="dxa"/>
              <w:end w:w="120" w:type="dxa"/>
            </w:tcMar>
            <w:vAlign w:val="center"/>
            <w:shd w:fill="4B2E83"/>
          </w:tcPr>
          <w:p>
            <w:pPr>
              <w:spacing w:after="0"/>
              <w:jc w:val="center"/>
            </w:pPr>
            <w:r>
              <w:rPr>
                <w:rFonts w:ascii="Calibri" w:hAnsi="Calibri"/>
                <w:b/>
                <w:i w:val="0"/>
                <w:color w:val="FFFFFF"/>
                <w:sz w:val="17"/>
              </w:rPr>
              <w:t>Evitar</w:t>
            </w:r>
          </w:p>
        </w:tc>
      </w:tr>
      <w:tr>
        <w:tc>
          <w:tcPr>
            <w:tcW w:type="dxa" w:w="2100"/>
          </w:tcPr>
          <w:p>
            <w:pPr>
              <w:spacing w:after="0"/>
              <w:jc w:val="center"/>
            </w:pPr>
            <w:r>
              <w:rPr>
                <w:rFonts w:ascii="Calibri" w:hAnsi="Calibri"/>
                <w:b w:val="0"/>
                <w:i w:val="0"/>
                <w:color w:val="1F2937"/>
                <w:sz w:val="17"/>
              </w:rPr>
              <w:t>Estrés, ansiedad y depresión</w:t>
            </w:r>
          </w:p>
        </w:tc>
        <w:tc>
          <w:tcPr>
            <w:tcW w:type="dxa" w:w="4300"/>
          </w:tcPr>
          <w:p>
            <w:pPr>
              <w:spacing w:after="0"/>
              <w:jc w:val="left"/>
            </w:pPr>
            <w:r>
              <w:rPr>
                <w:rFonts w:ascii="Calibri" w:hAnsi="Calibri"/>
                <w:b w:val="0"/>
                <w:i w:val="0"/>
                <w:color w:val="1F2937"/>
                <w:sz w:val="17"/>
              </w:rPr>
              <w:t>“Puntuaciones crudas por dominio del cuestionario adaptado DASS21_NG; rango 0–21”.</w:t>
            </w:r>
          </w:p>
        </w:tc>
        <w:tc>
          <w:tcPr>
            <w:tcW w:type="dxa" w:w="2960"/>
          </w:tcPr>
          <w:p>
            <w:pPr>
              <w:spacing w:after="0"/>
              <w:jc w:val="left"/>
            </w:pPr>
            <w:r>
              <w:rPr>
                <w:rFonts w:ascii="Calibri" w:hAnsi="Calibri"/>
                <w:b w:val="0"/>
                <w:i w:val="0"/>
                <w:color w:val="1F2937"/>
                <w:sz w:val="17"/>
              </w:rPr>
              <w:t>Evitar “instrumento estandarizado DASS-21” y puntos de corte clínicos.</w:t>
            </w:r>
          </w:p>
        </w:tc>
      </w:tr>
      <w:tr>
        <w:tc>
          <w:tcPr>
            <w:tcW w:type="dxa" w:w="2100"/>
            <w:shd w:fill="F2F4F7"/>
          </w:tcPr>
          <w:p>
            <w:pPr>
              <w:spacing w:after="0"/>
              <w:jc w:val="center"/>
            </w:pPr>
            <w:r>
              <w:rPr>
                <w:rFonts w:ascii="Calibri" w:hAnsi="Calibri"/>
                <w:b w:val="0"/>
                <w:i w:val="0"/>
                <w:color w:val="1F2937"/>
                <w:sz w:val="17"/>
              </w:rPr>
              <w:t>Percepción de apoyo</w:t>
            </w:r>
          </w:p>
        </w:tc>
        <w:tc>
          <w:tcPr>
            <w:tcW w:type="dxa" w:w="4300"/>
            <w:shd w:fill="F2F4F7"/>
          </w:tcPr>
          <w:p>
            <w:pPr>
              <w:spacing w:after="0"/>
              <w:jc w:val="left"/>
            </w:pPr>
            <w:r>
              <w:rPr>
                <w:rFonts w:ascii="Calibri" w:hAnsi="Calibri"/>
                <w:b w:val="0"/>
                <w:i w:val="0"/>
                <w:color w:val="1F2937"/>
                <w:sz w:val="17"/>
              </w:rPr>
              <w:t>“Índice de percepción de apoyo en escala 1–5, derivado del valor bruto /20”.</w:t>
            </w:r>
          </w:p>
        </w:tc>
        <w:tc>
          <w:tcPr>
            <w:tcW w:type="dxa" w:w="2960"/>
            <w:shd w:fill="F2F4F7"/>
          </w:tcPr>
          <w:p>
            <w:pPr>
              <w:spacing w:after="0"/>
              <w:jc w:val="left"/>
            </w:pPr>
            <w:r>
              <w:rPr>
                <w:rFonts w:ascii="Calibri" w:hAnsi="Calibri"/>
                <w:b w:val="0"/>
                <w:i w:val="0"/>
                <w:color w:val="1F2937"/>
                <w:sz w:val="17"/>
              </w:rPr>
              <w:t>Evitar MSPSS y cualquier referencia a sus tres subescalas.</w:t>
            </w:r>
          </w:p>
        </w:tc>
      </w:tr>
      <w:tr>
        <w:tc>
          <w:tcPr>
            <w:tcW w:type="dxa" w:w="2100"/>
          </w:tcPr>
          <w:p>
            <w:pPr>
              <w:spacing w:after="0"/>
              <w:jc w:val="center"/>
            </w:pPr>
            <w:r>
              <w:rPr>
                <w:rFonts w:ascii="Calibri" w:hAnsi="Calibri"/>
                <w:b w:val="0"/>
                <w:i w:val="0"/>
                <w:color w:val="1F2937"/>
                <w:sz w:val="17"/>
              </w:rPr>
              <w:t>WHOQOL-BREF</w:t>
            </w:r>
          </w:p>
        </w:tc>
        <w:tc>
          <w:tcPr>
            <w:tcW w:type="dxa" w:w="4300"/>
          </w:tcPr>
          <w:p>
            <w:pPr>
              <w:spacing w:after="0"/>
              <w:jc w:val="left"/>
            </w:pPr>
            <w:r>
              <w:rPr>
                <w:rFonts w:ascii="Calibri" w:hAnsi="Calibri"/>
                <w:b w:val="0"/>
                <w:i w:val="0"/>
                <w:color w:val="1F2937"/>
                <w:sz w:val="17"/>
              </w:rPr>
              <w:t>Resultados por cuatro dominios 0–100; global solo como promedio descriptivo.</w:t>
            </w:r>
          </w:p>
        </w:tc>
        <w:tc>
          <w:tcPr>
            <w:tcW w:type="dxa" w:w="2960"/>
          </w:tcPr>
          <w:p>
            <w:pPr>
              <w:spacing w:after="0"/>
              <w:jc w:val="left"/>
            </w:pPr>
            <w:r>
              <w:rPr>
                <w:rFonts w:ascii="Calibri" w:hAnsi="Calibri"/>
                <w:b w:val="0"/>
                <w:i w:val="0"/>
                <w:color w:val="1F2937"/>
                <w:sz w:val="17"/>
              </w:rPr>
              <w:t>Aclarar que el módulo no tiene cruce individual verificable con la base principal.</w:t>
            </w:r>
          </w:p>
        </w:tc>
      </w:tr>
      <w:tr>
        <w:tc>
          <w:tcPr>
            <w:tcW w:type="dxa" w:w="2100"/>
            <w:shd w:fill="F2F4F7"/>
          </w:tcPr>
          <w:p>
            <w:pPr>
              <w:spacing w:after="0"/>
              <w:jc w:val="center"/>
            </w:pPr>
            <w:r>
              <w:rPr>
                <w:rFonts w:ascii="Calibri" w:hAnsi="Calibri"/>
                <w:b w:val="0"/>
                <w:i w:val="0"/>
                <w:color w:val="1F2937"/>
                <w:sz w:val="17"/>
              </w:rPr>
              <w:t>Experiencia de uso</w:t>
            </w:r>
          </w:p>
        </w:tc>
        <w:tc>
          <w:tcPr>
            <w:tcW w:type="dxa" w:w="4300"/>
            <w:shd w:fill="F2F4F7"/>
          </w:tcPr>
          <w:p>
            <w:pPr>
              <w:spacing w:after="0"/>
              <w:jc w:val="left"/>
            </w:pPr>
            <w:r>
              <w:rPr>
                <w:rFonts w:ascii="Calibri" w:hAnsi="Calibri"/>
                <w:b w:val="0"/>
                <w:i w:val="0"/>
                <w:color w:val="1F2937"/>
                <w:sz w:val="17"/>
              </w:rPr>
              <w:t>Dos cuestionarios postest de 10 reactivos con resultados descriptivos.</w:t>
            </w:r>
          </w:p>
        </w:tc>
        <w:tc>
          <w:tcPr>
            <w:tcW w:type="dxa" w:w="2960"/>
            <w:shd w:fill="F2F4F7"/>
          </w:tcPr>
          <w:p>
            <w:pPr>
              <w:spacing w:after="0"/>
              <w:jc w:val="left"/>
            </w:pPr>
            <w:r>
              <w:rPr>
                <w:rFonts w:ascii="Calibri" w:hAnsi="Calibri"/>
                <w:b w:val="0"/>
                <w:i w:val="0"/>
                <w:color w:val="1F2937"/>
                <w:sz w:val="17"/>
              </w:rPr>
              <w:t>No presentarlos como mediciones pretest–postest ni reportar alfa sin matriz por ítem.</w:t>
            </w:r>
          </w:p>
        </w:tc>
      </w:tr>
    </w:tbl>
    <w:p>
      <w:pPr>
        <w:pStyle w:val="Heading1"/>
      </w:pPr>
      <w:r>
        <w:t>7. Ajustes de capítulos y anexos</w:t>
      </w:r>
    </w:p>
    <w:p>
      <w:pPr>
        <w:pStyle w:val="ListBullet"/>
      </w:pPr>
      <w:r>
        <w:rPr>
          <w:rFonts w:ascii="Calibri" w:hAnsi="Calibri"/>
          <w:b w:val="0"/>
          <w:i w:val="0"/>
          <w:color w:val="1F2937"/>
          <w:sz w:val="22"/>
        </w:rPr>
        <w:t>Capítulo 4: sustituir la tabla de instrumentos por la matriz de este documento y declarar la escala adaptada DASS21_NG.</w:t>
      </w:r>
    </w:p>
    <w:p>
      <w:pPr>
        <w:pStyle w:val="ListBullet"/>
      </w:pPr>
      <w:r>
        <w:rPr>
          <w:rFonts w:ascii="Calibri" w:hAnsi="Calibri"/>
          <w:b w:val="0"/>
          <w:i w:val="0"/>
          <w:color w:val="1F2937"/>
          <w:sz w:val="22"/>
        </w:rPr>
        <w:t>Capítulo 6.1: describir por separado instrumentos, índices registrados, cuestionarios propios y registros operativos.</w:t>
      </w:r>
    </w:p>
    <w:p>
      <w:pPr>
        <w:pStyle w:val="ListBullet"/>
      </w:pPr>
      <w:r>
        <w:rPr>
          <w:rFonts w:ascii="Calibri" w:hAnsi="Calibri"/>
          <w:b w:val="0"/>
          <w:i w:val="0"/>
          <w:color w:val="1F2937"/>
          <w:sz w:val="22"/>
        </w:rPr>
        <w:t>Capítulo 6.4.4: titular la variable como “percepción de apoyo” o “índice de percepción de apoyo”; utilizar 2.69→3.40 para el grupo experimental y 2.69→2.73 para el control, de acuerdo con la base canónica.</w:t>
      </w:r>
    </w:p>
    <w:p>
      <w:pPr>
        <w:pStyle w:val="ListBullet"/>
      </w:pPr>
      <w:r>
        <w:rPr>
          <w:rFonts w:ascii="Calibri" w:hAnsi="Calibri"/>
          <w:b w:val="0"/>
          <w:i w:val="0"/>
          <w:color w:val="1F2937"/>
          <w:sz w:val="22"/>
        </w:rPr>
        <w:t>Anexo C: conservar DASS21_NG y WHOQOL-BREF; retirar MSPSS como instrumento aplicado.</w:t>
      </w:r>
    </w:p>
    <w:p>
      <w:pPr>
        <w:pStyle w:val="ListBullet"/>
      </w:pPr>
      <w:r>
        <w:rPr>
          <w:rFonts w:ascii="Calibri" w:hAnsi="Calibri"/>
          <w:b w:val="0"/>
          <w:i w:val="0"/>
          <w:color w:val="1F2937"/>
          <w:sz w:val="22"/>
        </w:rPr>
        <w:t>Anexo D: incluir únicamente los dos cuestionarios propios de diez reactivos.</w:t>
      </w:r>
    </w:p>
    <w:p>
      <w:pPr>
        <w:pStyle w:val="ListBullet"/>
      </w:pPr>
      <w:r>
        <w:rPr>
          <w:rFonts w:ascii="Calibri" w:hAnsi="Calibri"/>
          <w:b w:val="0"/>
          <w:i w:val="0"/>
          <w:color w:val="1F2937"/>
          <w:sz w:val="22"/>
        </w:rPr>
        <w:t>Anexo F: reportar la confiabilidad reproducible del WHOQOL-BREF por dominio; indicar “no calculable con la base disponible” para los componentes sin reactivos.</w:t>
      </w:r>
    </w:p>
    <w:p>
      <w:pPr>
        <w:pStyle w:val="ListBullet"/>
      </w:pPr>
      <w:r>
        <w:rPr>
          <w:rFonts w:ascii="Calibri" w:hAnsi="Calibri"/>
          <w:b w:val="0"/>
          <w:i w:val="0"/>
          <w:color w:val="1F2937"/>
          <w:sz w:val="22"/>
        </w:rPr>
        <w:t>Anexo N: renombrar como “Resultados del índice de percepción de apoyo”.</w:t>
      </w:r>
    </w:p>
    <w:p>
      <w:pPr>
        <w:pStyle w:val="ListBullet"/>
      </w:pPr>
      <w:r>
        <w:rPr>
          <w:rFonts w:ascii="Calibri" w:hAnsi="Calibri"/>
          <w:b w:val="0"/>
          <w:i w:val="0"/>
          <w:color w:val="1F2937"/>
          <w:sz w:val="22"/>
        </w:rPr>
        <w:t>Resumen, conclusiones y presentación: reemplazar toda atribución a MSPSS y toda mención del DASS21_NG como escala estandarizada sin modificaciones.</w:t>
      </w:r>
    </w:p>
    <w:p>
      <w:pPr>
        <w:pStyle w:val="Heading1"/>
      </w:pPr>
      <w:r>
        <w:t>8. Información que no debe generarse retroactivamente</w:t>
      </w:r>
    </w:p>
    <w:p>
      <w:r>
        <w:rPr>
          <w:rFonts w:ascii="Calibri" w:hAnsi="Calibri"/>
          <w:b w:val="0"/>
          <w:i w:val="0"/>
          <w:color w:val="1F2937"/>
          <w:sz w:val="22"/>
        </w:rPr>
        <w:t>El conjunto de formatos está completo para documentar lo realizado. Solo sería posible ampliar los análisis si se localizan fuentes primarias adicionales. No deben crearse respuestas individuales después del estudio para calcular confiabilidad, validez o subescalas que no quedaron registradas.</w:t>
      </w:r>
    </w:p>
    <w:p>
      <w:pPr>
        <w:pStyle w:val="ListBullet"/>
      </w:pPr>
      <w:r>
        <w:rPr>
          <w:rFonts w:ascii="Calibri" w:hAnsi="Calibri"/>
          <w:b w:val="0"/>
          <w:i w:val="0"/>
          <w:color w:val="1F2937"/>
          <w:sz w:val="22"/>
        </w:rPr>
        <w:t>Respuestas por reactivo de DASS21_NG, APOYO10 o UTIL10, salvo que existan en formularios o exportaciones originales.</w:t>
      </w:r>
    </w:p>
    <w:p>
      <w:pPr>
        <w:pStyle w:val="ListBullet"/>
      </w:pPr>
      <w:r>
        <w:rPr>
          <w:rFonts w:ascii="Calibri" w:hAnsi="Calibri"/>
          <w:b w:val="0"/>
          <w:i w:val="0"/>
          <w:color w:val="1F2937"/>
          <w:sz w:val="22"/>
        </w:rPr>
        <w:t>Un formulario MSPSS o puntuaciones de sus subescalas si no fue aplicado.</w:t>
      </w:r>
    </w:p>
    <w:p>
      <w:pPr>
        <w:pStyle w:val="ListBullet"/>
      </w:pPr>
      <w:r>
        <w:rPr>
          <w:rFonts w:ascii="Calibri" w:hAnsi="Calibri"/>
          <w:b w:val="0"/>
          <w:i w:val="0"/>
          <w:color w:val="1F2937"/>
          <w:sz w:val="22"/>
        </w:rPr>
        <w:t>Una correspondencia entre identificadores WHOQOL y participant_id sin una llave original verificable.</w:t>
      </w:r>
    </w:p>
    <w:p>
      <w:pPr>
        <w:pStyle w:val="ListBullet"/>
      </w:pPr>
      <w:r>
        <w:rPr>
          <w:rFonts w:ascii="Calibri" w:hAnsi="Calibri"/>
          <w:b w:val="0"/>
          <w:i w:val="0"/>
          <w:color w:val="1F2937"/>
          <w:sz w:val="22"/>
        </w:rPr>
        <w:t>Alfas de Cronbach, análisis factoriales o acuerdos de jueces no respaldados por sus matrices fuente.</w:t>
      </w:r>
    </w:p>
    <w:p>
      <w:pPr>
        <w:pStyle w:val="Heading1"/>
      </w:pPr>
      <w:r>
        <w:t>9. Fuentes primarias de referencia</w:t>
      </w:r>
    </w:p>
    <w:p>
      <w:pPr>
        <w:pStyle w:val="ListBullet"/>
      </w:pPr>
      <w:r>
        <w:rPr>
          <w:rFonts w:ascii="Calibri" w:hAnsi="Calibri"/>
          <w:b w:val="0"/>
          <w:i w:val="0"/>
          <w:color w:val="1F2937"/>
          <w:sz w:val="22"/>
        </w:rPr>
        <w:t>University of New South Wales. Depression Anxiety Stress Scales (DASS) y FAQ de puntuación de DASS-21. https://www2.psy.unsw.edu.au/dass/ https://www2.psy.unsw.edu.au/groups/dass/DASSFAQ.htm</w:t>
      </w:r>
    </w:p>
    <w:p>
      <w:pPr>
        <w:pStyle w:val="ListBullet"/>
      </w:pPr>
      <w:r>
        <w:rPr>
          <w:rFonts w:ascii="Calibri" w:hAnsi="Calibri"/>
          <w:b w:val="0"/>
          <w:i w:val="0"/>
          <w:color w:val="1F2937"/>
          <w:sz w:val="22"/>
        </w:rPr>
        <w:t>World Health Organization. WHOQOL-BREF: introduction, administration, scoring and generic version. https://www.who.int/publications/i/item/WHOQOL-BREF</w:t>
      </w:r>
    </w:p>
    <w:p>
      <w:pPr>
        <w:pStyle w:val="ListBullet"/>
      </w:pPr>
      <w:r>
        <w:rPr>
          <w:rFonts w:ascii="Calibri" w:hAnsi="Calibri"/>
          <w:b w:val="0"/>
          <w:i w:val="0"/>
          <w:color w:val="1F2937"/>
          <w:sz w:val="22"/>
        </w:rPr>
        <w:t>Zimet, G. D., Dahlem, N. W., Zimet, S. G., &amp; Farley, G. K. (1988). The Multidimensional Scale of Perceived Social Support. Journal of Personality Assessment, 52(1), 30–41. https://doi.org/10.1207/s15327752jpa5201_2</w:t>
      </w:r>
    </w:p>
    <w:p>
      <w:pPr>
        <w:pStyle w:val="Heading1"/>
      </w:pPr>
      <w:r>
        <w:t>10. Fuentes internas utilizadas</w:t>
      </w:r>
    </w:p>
    <w:tbl>
      <w:tblPr>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00"/>
        <w:gridCol w:w="6960"/>
      </w:tblGrid>
      <w:tr>
        <w:trPr>
          <w:tblHeader w:val="true"/>
        </w:trPr>
        <w:tc>
          <w:tcPr>
            <w:tcW w:type="dxa" w:w="2400"/>
            <w:tcMar>
              <w:top w:w="80" w:type="dxa"/>
              <w:start w:w="120" w:type="dxa"/>
              <w:bottom w:w="80" w:type="dxa"/>
              <w:end w:w="120" w:type="dxa"/>
            </w:tcMar>
            <w:vAlign w:val="center"/>
            <w:shd w:fill="4B2E83"/>
          </w:tcPr>
          <w:p>
            <w:pPr>
              <w:spacing w:after="0"/>
              <w:jc w:val="center"/>
            </w:pPr>
            <w:r>
              <w:rPr>
                <w:rFonts w:ascii="Calibri" w:hAnsi="Calibri"/>
                <w:b/>
                <w:i w:val="0"/>
                <w:color w:val="FFFFFF"/>
                <w:sz w:val="17"/>
              </w:rPr>
              <w:t>Componente</w:t>
            </w:r>
          </w:p>
        </w:tc>
        <w:tc>
          <w:tcPr>
            <w:tcW w:type="dxa" w:w="6960"/>
            <w:tcMar>
              <w:top w:w="80" w:type="dxa"/>
              <w:start w:w="120" w:type="dxa"/>
              <w:bottom w:w="80" w:type="dxa"/>
              <w:end w:w="120" w:type="dxa"/>
            </w:tcMar>
            <w:vAlign w:val="center"/>
            <w:shd w:fill="4B2E83"/>
          </w:tcPr>
          <w:p>
            <w:pPr>
              <w:spacing w:after="0"/>
              <w:jc w:val="center"/>
            </w:pPr>
            <w:r>
              <w:rPr>
                <w:rFonts w:ascii="Calibri" w:hAnsi="Calibri"/>
                <w:b/>
                <w:i w:val="0"/>
                <w:color w:val="FFFFFF"/>
                <w:sz w:val="17"/>
              </w:rPr>
              <w:t>Archivo fuente</w:t>
            </w:r>
          </w:p>
        </w:tc>
      </w:tr>
      <w:tr>
        <w:tc>
          <w:tcPr>
            <w:tcW w:type="dxa" w:w="2400"/>
          </w:tcPr>
          <w:p>
            <w:pPr>
              <w:spacing w:after="0"/>
              <w:jc w:val="center"/>
            </w:pPr>
            <w:r>
              <w:rPr>
                <w:rFonts w:ascii="Calibri" w:hAnsi="Calibri"/>
                <w:b w:val="0"/>
                <w:i w:val="0"/>
                <w:color w:val="1F2937"/>
                <w:sz w:val="17"/>
              </w:rPr>
              <w:t>Instrumentos</w:t>
            </w:r>
          </w:p>
        </w:tc>
        <w:tc>
          <w:tcPr>
            <w:tcW w:type="dxa" w:w="6960"/>
          </w:tcPr>
          <w:p>
            <w:pPr>
              <w:spacing w:after="0"/>
              <w:jc w:val="left"/>
            </w:pPr>
            <w:r>
              <w:rPr>
                <w:rFonts w:ascii="Calibri" w:hAnsi="Calibri"/>
                <w:b w:val="0"/>
                <w:i w:val="0"/>
                <w:color w:val="1F2937"/>
                <w:sz w:val="17"/>
              </w:rPr>
              <w:t>01_Consentimiento_Informado.docx; 02_Instrumento_Sociodemografico.docx; 03_DASS21_Adaptado.docx; 04_Escala_Apoyo_Emocional.docx; 05_Escala_Utilidad_Tecnologica.docx; 06_Pretest_neuroguIA.docx; 07_Posttest_neuroguIA.docx</w:t>
            </w:r>
          </w:p>
        </w:tc>
      </w:tr>
      <w:tr>
        <w:tc>
          <w:tcPr>
            <w:tcW w:type="dxa" w:w="2400"/>
            <w:shd w:fill="F2F4F7"/>
          </w:tcPr>
          <w:p>
            <w:pPr>
              <w:spacing w:after="0"/>
              <w:jc w:val="center"/>
            </w:pPr>
            <w:r>
              <w:rPr>
                <w:rFonts w:ascii="Calibri" w:hAnsi="Calibri"/>
                <w:b w:val="0"/>
                <w:i w:val="0"/>
                <w:color w:val="1F2937"/>
                <w:sz w:val="17"/>
              </w:rPr>
              <w:t>Resultados pretest–postest</w:t>
            </w:r>
          </w:p>
        </w:tc>
        <w:tc>
          <w:tcPr>
            <w:tcW w:type="dxa" w:w="6960"/>
            <w:shd w:fill="F2F4F7"/>
          </w:tcPr>
          <w:p>
            <w:pPr>
              <w:spacing w:after="0"/>
              <w:jc w:val="left"/>
            </w:pPr>
            <w:r>
              <w:rPr>
                <w:rFonts w:ascii="Calibri" w:hAnsi="Calibri"/>
                <w:b w:val="0"/>
                <w:i w:val="0"/>
                <w:color w:val="1F2937"/>
                <w:sz w:val="17"/>
              </w:rPr>
              <w:t>evaluacion_prepost_neuroguIA.xlsx y research_prepost.csv</w:t>
            </w:r>
          </w:p>
        </w:tc>
      </w:tr>
      <w:tr>
        <w:tc>
          <w:tcPr>
            <w:tcW w:type="dxa" w:w="2400"/>
          </w:tcPr>
          <w:p>
            <w:pPr>
              <w:spacing w:after="0"/>
              <w:jc w:val="center"/>
            </w:pPr>
            <w:r>
              <w:rPr>
                <w:rFonts w:ascii="Calibri" w:hAnsi="Calibri"/>
                <w:b w:val="0"/>
                <w:i w:val="0"/>
                <w:color w:val="1F2937"/>
                <w:sz w:val="17"/>
              </w:rPr>
              <w:t>WHOQOL-BREF</w:t>
            </w:r>
          </w:p>
        </w:tc>
        <w:tc>
          <w:tcPr>
            <w:tcW w:type="dxa" w:w="6960"/>
          </w:tcPr>
          <w:p>
            <w:pPr>
              <w:spacing w:after="0"/>
              <w:jc w:val="left"/>
            </w:pPr>
            <w:r>
              <w:rPr>
                <w:rFonts w:ascii="Calibri" w:hAnsi="Calibri"/>
                <w:b w:val="0"/>
                <w:i w:val="0"/>
                <w:color w:val="1F2937"/>
                <w:sz w:val="17"/>
              </w:rPr>
              <w:t>whoqol_bref_prepost_dominios_neuroguIA.xlsx; whoqol_items.csv; whoqol_scores.csv; whoqol_reliability.csv</w:t>
            </w:r>
          </w:p>
        </w:tc>
      </w:tr>
      <w:tr>
        <w:tc>
          <w:tcPr>
            <w:tcW w:type="dxa" w:w="2400"/>
            <w:shd w:fill="F2F4F7"/>
          </w:tcPr>
          <w:p>
            <w:pPr>
              <w:spacing w:after="0"/>
              <w:jc w:val="center"/>
            </w:pPr>
            <w:r>
              <w:rPr>
                <w:rFonts w:ascii="Calibri" w:hAnsi="Calibri"/>
                <w:b w:val="0"/>
                <w:i w:val="0"/>
                <w:color w:val="1F2937"/>
                <w:sz w:val="17"/>
              </w:rPr>
              <w:t>Concentrado</w:t>
            </w:r>
          </w:p>
        </w:tc>
        <w:tc>
          <w:tcPr>
            <w:tcW w:type="dxa" w:w="6960"/>
            <w:shd w:fill="F2F4F7"/>
          </w:tcPr>
          <w:p>
            <w:pPr>
              <w:spacing w:after="0"/>
              <w:jc w:val="left"/>
            </w:pPr>
            <w:r>
              <w:rPr>
                <w:rFonts w:ascii="Calibri" w:hAnsi="Calibri"/>
                <w:b w:val="0"/>
                <w:i w:val="0"/>
                <w:color w:val="1F2937"/>
                <w:sz w:val="17"/>
              </w:rPr>
              <w:t>NeuroGuIA_Concentrado_Maestro.xlsx, hojas 02_Instrumentos, 03_Items_Instrumentos, 05_PrePost, 09_WHOQOL_Items y 11_WHOQOL_Alfa</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12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7000"/>
      <w:gridCol w:w="2360"/>
    </w:tblGrid>
    <w:tr>
      <w:tc>
        <w:tcPr>
          <w:tcW w:type="dxa" w:w="7000"/>
          <w:tcMar>
            <w:top w:w="80" w:type="dxa"/>
            <w:start w:w="120" w:type="dxa"/>
            <w:bottom w:w="80" w:type="dxa"/>
            <w:end w:w="120" w:type="dxa"/>
          </w:tcMar>
          <w:vAlign w:val="center"/>
        </w:tcPr>
        <w:p>
          <w:pPr>
            <w:spacing w:after="0"/>
          </w:pPr>
          <w:r>
            <w:rPr>
              <w:rFonts w:ascii="Calibri" w:hAnsi="Calibri"/>
              <w:b w:val="0"/>
              <w:i w:val="0"/>
              <w:color w:val="667085"/>
              <w:sz w:val="17"/>
            </w:rPr>
            <w:t>Cristhianne De León  •  ORCID 0009-0007-4777-1741</w:t>
          </w:r>
        </w:p>
      </w:tc>
      <w:tc>
        <w:tcPr>
          <w:tcW w:type="dxa" w:w="2360"/>
          <w:tcMar>
            <w:top w:w="80" w:type="dxa"/>
            <w:start w:w="120" w:type="dxa"/>
            <w:bottom w:w="80" w:type="dxa"/>
            <w:end w:w="120" w:type="dxa"/>
          </w:tcMar>
          <w:vAlign w:val="center"/>
        </w:tcPr>
        <w:p>
          <w:pPr>
            <w:spacing w:after="0"/>
            <w:jc w:val="right"/>
          </w:pPr>
          <w:r>
            <w:rPr>
              <w:rFonts w:ascii="Calibri" w:hAnsi="Calibri"/>
              <w:b w:val="0"/>
              <w:i w:val="0"/>
              <w:color w:val="667085"/>
              <w:sz w:val="17"/>
            </w:rPr>
            <w:t xml:space="preserve">Página </w:t>
          </w:r>
          <w:r>
            <w:rPr>
              <w:rFonts w:ascii="Calibri" w:hAnsi="Calibri"/>
              <w:b w:val="0"/>
              <w:i w:val="0"/>
              <w:color w:val="667085"/>
              <w:sz w:val="18"/>
            </w:rPr>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667085"/>
        <w:sz w:val="18"/>
      </w:rPr>
      <w:t>neuroguIA  |  Instrumentos y criterios de reporte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4B2E8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4B2E8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2038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Matriz definitiva de instrumentos y criterios de reporte de neuroguIA</dc:title>
  <dc:subject>Metodología, puntuación y criterios de reporte</dc:subject>
  <dc:creator>Cristhianne De León</dc:creator>
  <cp:keywords>neuroguIA, instrumentos, metodología, DASS21_NG, WHOQOL-BREF</cp:keywords>
  <dc:description>Documento metodológico de trabajo</dc:description>
  <cp:lastModifiedBy>Cristhianne De León</cp:lastModifiedBy>
  <cp:revision>1</cp:revision>
  <dcterms:created xsi:type="dcterms:W3CDTF">2026-07-24T00:00:00Z</dcterms:created>
  <dcterms:modified xsi:type="dcterms:W3CDTF">2026-07-24T00:00:00Z</dcterms:modified>
  <cp:category/>
</cp:coreProperties>
</file>