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CRISTÓBAL PRADO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07/30/24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WebNova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Comienzo completo nuevos documentos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dividieron las tareas pertinentes entre las dos partes del grupo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2940"/>
        <w:gridCol w:w="7395"/>
        <w:tblGridChange w:id="0">
          <w:tblGrid>
            <w:gridCol w:w="2940"/>
            <w:gridCol w:w="7395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División de actividades.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 parte se hará cargo de su parte correspondiente.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Suplantación de funciones por inconvenientes.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5"/>
                <w:numId w:val="1"/>
              </w:numPr>
              <w:spacing w:after="160"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gjpklMjp0Fphb94D7l3ZdPECtw==">CgMxLjA4AHIhMVgzbnRidHN3M2VFaUZlRFRDek10aFA1UG85SlBWdUdQ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