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Trebuchet MS" w:cs="Trebuchet MS" w:eastAsia="Trebuchet MS" w:hAnsi="Trebuchet MS"/>
          <w:b/>
          <w:bCs/>
          <w:i w:val="false"/>
          <w:iCs w:val="false"/>
          <w:color w:val="16201C"/>
          <w:sz w:val="40"/>
          <w:szCs w:val="40"/>
        </w:rPr>
        <w:t xml:space="preserve">Technical Case Study</w:t>
      </w:r>
    </w:p>
    <w:p>
      <w:pPr>
        <w:spacing w:after="50"/>
      </w:pPr>
      <w:r>
        <w:rPr>
          <w:rFonts w:ascii="Calibri" w:cs="Calibri" w:eastAsia="Calibri" w:hAnsi="Calibri"/>
          <w:b w:val="false"/>
          <w:bCs w:val="false"/>
          <w:i/>
          <w:iCs/>
          <w:color w:val="5C6B63"/>
          <w:sz w:val="24"/>
          <w:szCs w:val="24"/>
        </w:rPr>
        <w:t xml:space="preserve">VitalMonitor: a portable four-parameter vital signs monitor on the ESP32 platform</w:t>
      </w:r>
    </w:p>
    <w:p>
      <w:pPr>
        <w:pBdr>
          <w:bottom w:val="single" w:color="0E7C57" w:sz="8" w:space="4"/>
        </w:pBdr>
        <w:spacing w:after="150"/>
      </w:pPr>
      <w:r>
        <w:rPr>
          <w:rFonts w:ascii="Calibri" w:cs="Calibri" w:eastAsia="Calibri" w:hAnsi="Calibri"/>
          <w:b w:val="false"/>
          <w:bCs w:val="false"/>
          <w:i w:val="false"/>
          <w:iCs w:val="false"/>
          <w:color w:val="16201C"/>
          <w:sz w:val="2"/>
          <w:szCs w:val="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Dimension</w:t>
            </w:r>
          </w:p>
        </w:tc>
        <w:tc>
          <w:tcPr>
            <w:tcW w:type="dxa" w:w="686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Detail</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Domain</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biomedical engineering, embedded systems, biomedical signal processing</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Platform</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ESP32-WROOM-32 (dual core), C++/Arduino, FreeRTOS, PlatformIO</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Parameters</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ECG with heart rate, SpO2, temperature (measured directly); respiration (derived from the PPG signal)</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Scope covered</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hardware architecture, firmware, web application, CAD enclosure, numerical validation</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Headline result</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QRS detection on MIT-BIH: Se 98.67% / +P 99.11% / F1 98.89%</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Cost</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under 607 RON in components, below one tenth of a commercial multiparameter monitor</w:t>
            </w:r>
          </w:p>
        </w:tc>
      </w:tr>
      <w:tr>
        <w:tc>
          <w:tcPr>
            <w:tcW w:type="dxa" w:w="25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Battery life</w:t>
            </w:r>
          </w:p>
        </w:tc>
        <w:tc>
          <w:tcPr>
            <w:tcW w:type="dxa" w:w="68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about 7.6 h in active mode (1800 mAh LiPo, roughly 236 mA draw)</w:t>
            </w:r>
          </w:p>
        </w:tc>
      </w:tr>
    </w:tbl>
    <w:p>
      <w:pPr>
        <w:pStyle w:val="Heading1"/>
        <w:spacing w:after="140" w:before="120"/>
      </w:pPr>
      <w:r>
        <w:rPr>
          <w:rFonts w:ascii="Trebuchet MS" w:cs="Trebuchet MS" w:eastAsia="Trebuchet MS" w:hAnsi="Trebuchet MS"/>
          <w:b/>
          <w:bCs/>
          <w:color w:val="16201C"/>
          <w:sz w:val="30"/>
          <w:szCs w:val="30"/>
        </w:rPr>
        <w:t xml:space="preserve">1. Context and problem</w:t>
      </w:r>
    </w:p>
    <w:p>
      <w:pPr>
        <w:spacing w:after="130" w:before="0" w:line="286"/>
        <w:jc w:val="both"/>
      </w:pPr>
      <w:r>
        <w:rPr>
          <w:rFonts w:ascii="Calibri" w:cs="Calibri" w:eastAsia="Calibri" w:hAnsi="Calibri"/>
          <w:b w:val="false"/>
          <w:bCs w:val="false"/>
          <w:i w:val="false"/>
          <w:iCs w:val="false"/>
          <w:color w:val="16201C"/>
          <w:sz w:val="22"/>
          <w:szCs w:val="22"/>
        </w:rPr>
        <w:t xml:space="preserve">Patient deterioration is almost always preceded by changes in vital signs, which is why continuous monitoring is part of clinical practice and of standardized scores such as NEWS2. The barrier is not what we measure but access: classic multiparameter monitoring relies on expensive, bulky equipment tied to the ward. Outside the hospital, in home care or in resource-limited settings, it is missing.</w:t>
      </w:r>
    </w:p>
    <w:p>
      <w:pPr>
        <w:spacing w:after="130" w:before="0" w:line="286"/>
        <w:jc w:val="both"/>
      </w:pPr>
      <w:r>
        <w:rPr>
          <w:rFonts w:ascii="Calibri" w:cs="Calibri" w:eastAsia="Calibri" w:hAnsi="Calibri"/>
          <w:b w:val="false"/>
          <w:bCs w:val="false"/>
          <w:i w:val="false"/>
          <w:iCs w:val="false"/>
          <w:color w:val="16201C"/>
          <w:sz w:val="22"/>
          <w:szCs w:val="22"/>
        </w:rPr>
        <w:t xml:space="preserve">The design question was whether the four common vital signs can be integrated on a single portable platform, an order of magnitude cheaper than a commercial monitor, without sacrificing the reliability of the part that matters most clinically, the correct detection of heartbeats.</w:t>
      </w:r>
    </w:p>
    <w:p>
      <w:pPr>
        <w:pStyle w:val="Heading1"/>
        <w:spacing w:after="140" w:before="120"/>
      </w:pPr>
      <w:r>
        <w:rPr>
          <w:rFonts w:ascii="Trebuchet MS" w:cs="Trebuchet MS" w:eastAsia="Trebuchet MS" w:hAnsi="Trebuchet MS"/>
          <w:b/>
          <w:bCs/>
          <w:color w:val="16201C"/>
          <w:sz w:val="30"/>
          <w:szCs w:val="30"/>
        </w:rPr>
        <w:t xml:space="preserve">2. Objectives and requirements</w:t>
      </w:r>
    </w:p>
    <w:p>
      <w:pPr>
        <w:spacing w:after="130" w:before="0" w:line="286"/>
        <w:jc w:val="both"/>
      </w:pPr>
      <w:r>
        <w:rPr>
          <w:rFonts w:ascii="Calibri" w:cs="Calibri" w:eastAsia="Calibri" w:hAnsi="Calibri"/>
          <w:b w:val="false"/>
          <w:bCs w:val="false"/>
          <w:i w:val="false"/>
          <w:iCs w:val="false"/>
          <w:color w:val="16201C"/>
          <w:sz w:val="22"/>
          <w:szCs w:val="22"/>
        </w:rPr>
        <w:t xml:space="preserve">Functional requirements were fixed before implementation, each with a measurable criterion. The table summarizes the final state against the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360"/>
        <w:gridCol w:w="1700"/>
      </w:tblGrid>
      <w:tr>
        <w:trPr>
          <w:tblHeader/>
        </w:trPr>
        <w:tc>
          <w:tcPr>
            <w:tcW w:type="dxa" w:w="9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Code</w:t>
            </w:r>
          </w:p>
        </w:tc>
        <w:tc>
          <w:tcPr>
            <w:tcW w:type="dxa" w:w="34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Requirement</w:t>
            </w:r>
          </w:p>
        </w:tc>
        <w:tc>
          <w:tcPr>
            <w:tcW w:type="dxa" w:w="336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Criterion</w:t>
            </w:r>
          </w:p>
        </w:tc>
        <w:tc>
          <w:tcPr>
            <w:tcW w:type="dxa" w:w="17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Status</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F1</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ECG acquisition and analysis</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QRS detection validated on clinical data</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met (MIT-BIH)</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F2</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SpO2 estimation</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formula vs reference, Bland-Altman analysis</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partial (subject validation pending)</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F3</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heart rate</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derived from ECG, averaged over 16 RR intervals</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met</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F4</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temperature</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dedicated digital sensor</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met</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F5</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respiration</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derived from signal, no extra sensor</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met (on test signal)</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F6</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real-time display</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latency under 500 ms</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met (estimated budget)</w:t>
            </w:r>
          </w:p>
        </w:tc>
      </w:tr>
      <w:tr>
        <w:tc>
          <w:tcPr>
            <w:tcW w:type="dxa" w:w="9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N1</w:t>
            </w:r>
          </w:p>
        </w:tc>
        <w:tc>
          <w:tcPr>
            <w:tcW w:type="dxa" w:w="34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low cost</w:t>
            </w:r>
          </w:p>
        </w:tc>
        <w:tc>
          <w:tcPr>
            <w:tcW w:type="dxa" w:w="33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fraction of a commercial monitor</w:t>
            </w:r>
          </w:p>
        </w:tc>
        <w:tc>
          <w:tcPr>
            <w:tcW w:type="dxa" w:w="17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met (under 607 RON)</w:t>
            </w:r>
          </w:p>
        </w:tc>
      </w:tr>
    </w:tbl>
    <w:p>
      <w:pPr>
        <w:pStyle w:val="Heading1"/>
        <w:spacing w:after="140" w:before="120"/>
      </w:pPr>
      <w:r>
        <w:rPr>
          <w:rFonts w:ascii="Trebuchet MS" w:cs="Trebuchet MS" w:eastAsia="Trebuchet MS" w:hAnsi="Trebuchet MS"/>
          <w:b/>
          <w:bCs/>
          <w:color w:val="16201C"/>
          <w:sz w:val="30"/>
          <w:szCs w:val="30"/>
        </w:rPr>
        <w:t xml:space="preserve">3. System architecture</w:t>
      </w:r>
    </w:p>
    <w:p>
      <w:pPr>
        <w:spacing w:after="130" w:before="0" w:line="286"/>
        <w:jc w:val="both"/>
      </w:pPr>
      <w:r>
        <w:rPr>
          <w:rFonts w:ascii="Calibri" w:cs="Calibri" w:eastAsia="Calibri" w:hAnsi="Calibri"/>
          <w:b w:val="false"/>
          <w:bCs w:val="false"/>
          <w:i w:val="false"/>
          <w:iCs w:val="false"/>
          <w:color w:val="16201C"/>
          <w:sz w:val="22"/>
          <w:szCs w:val="22"/>
        </w:rPr>
        <w:t xml:space="preserve">The system is organized into six functional zones: analog acquisition, digital sensors, processing, power, display and communication. Coordination is handled by a dual-core ESP32, chosen over an Arduino Uno board for its compute headroom, built-in WiFi, and the ability to separate real-time acquisition from display and communication.</w:t>
      </w:r>
    </w:p>
    <w:p>
      <w:pPr>
        <w:spacing w:after="130" w:before="0" w:line="286"/>
        <w:jc w:val="both"/>
      </w:pPr>
      <w:r>
        <w:rPr>
          <w:rFonts w:ascii="Calibri" w:cs="Calibri" w:eastAsia="Calibri" w:hAnsi="Calibri"/>
          <w:b w:val="false"/>
          <w:bCs w:val="false"/>
          <w:i w:val="false"/>
          <w:iCs w:val="false"/>
          <w:color w:val="16201C"/>
          <w:sz w:val="22"/>
          <w:szCs w:val="22"/>
        </w:rPr>
        <w:t xml:space="preserve">Three sensor chains produce four vital values. The ECG chain yields heart rate through QRS detection. The optical sensor yields oxygen saturation and, from the same signal, respiratory rate. The digital sensor yields temperature. Heart rate is therefore derived from the ECG, not from the optical sensor, and respiration is derived from the modulation of the pulse signal.</w:t>
      </w:r>
    </w:p>
    <w:p>
      <w:pPr>
        <w:pStyle w:val="Heading1"/>
        <w:spacing w:after="140" w:before="120"/>
      </w:pPr>
      <w:r>
        <w:rPr>
          <w:rFonts w:ascii="Trebuchet MS" w:cs="Trebuchet MS" w:eastAsia="Trebuchet MS" w:hAnsi="Trebuchet MS"/>
          <w:b/>
          <w:bCs/>
          <w:color w:val="16201C"/>
          <w:sz w:val="30"/>
          <w:szCs w:val="30"/>
        </w:rPr>
        <w:t xml:space="preserve">4. Engineering decisions and trade-offs</w:t>
      </w:r>
    </w:p>
    <w:p>
      <w:pPr>
        <w:pStyle w:val="Heading2"/>
        <w:spacing w:after="90" w:before="220"/>
      </w:pPr>
      <w:r>
        <w:rPr>
          <w:rFonts w:ascii="Trebuchet MS" w:cs="Trebuchet MS" w:eastAsia="Trebuchet MS" w:hAnsi="Trebuchet MS"/>
          <w:b/>
          <w:bCs/>
          <w:color w:val="0E7C57"/>
          <w:sz w:val="24"/>
          <w:szCs w:val="24"/>
        </w:rPr>
        <w:t xml:space="preserve">4.1. ECG chain and 16-bit conversion</w:t>
      </w:r>
    </w:p>
    <w:p>
      <w:pPr>
        <w:spacing w:after="130" w:before="0" w:line="286"/>
        <w:jc w:val="both"/>
      </w:pPr>
      <w:r>
        <w:rPr>
          <w:rFonts w:ascii="Calibri" w:cs="Calibri" w:eastAsia="Calibri" w:hAnsi="Calibri"/>
          <w:b w:val="false"/>
          <w:bCs w:val="false"/>
          <w:i w:val="false"/>
          <w:iCs w:val="false"/>
          <w:color w:val="16201C"/>
          <w:sz w:val="22"/>
          <w:szCs w:val="22"/>
        </w:rPr>
        <w:t xml:space="preserve">The ECG signal is on the order of millivolts and easily corrupted, so it is captured by the AD8232 instrumentation amplifier (fixed gain of 100 V/V, common-mode rejection typically 86 dB up to 60 Hz, Driven Right Leg loop). Conversion does not use the ESP32 internal converter, which is too noisy and only 12-bit, but an external 16-bit ADS1115 on the ±6.144 V range. One quantization step is </w:t>
      </w:r>
      <w:r>
        <w:rPr>
          <w:rFonts w:ascii="Calibri" w:cs="Calibri" w:eastAsia="Calibri" w:hAnsi="Calibri"/>
          <w:b/>
          <w:bCs/>
          <w:i w:val="false"/>
          <w:iCs w:val="false"/>
          <w:color w:val="16201C"/>
          <w:sz w:val="22"/>
          <w:szCs w:val="22"/>
        </w:rPr>
        <w:t xml:space="preserve">LSB = 6.144 / 32768 = 187.5 µV</w:t>
      </w:r>
      <w:r>
        <w:rPr>
          <w:rFonts w:ascii="Calibri" w:cs="Calibri" w:eastAsia="Calibri" w:hAnsi="Calibri"/>
          <w:b w:val="false"/>
          <w:bCs w:val="false"/>
          <w:i w:val="false"/>
          <w:iCs w:val="false"/>
          <w:color w:val="16201C"/>
          <w:sz w:val="22"/>
          <w:szCs w:val="22"/>
        </w:rPr>
        <w:t xml:space="preserve">, that is about 1.875 µV referred to the electrodes after the gain of 100, fine enough for the QRS complex. The sampling rate is 250 SPS, above twice the 40 Hz useful band, the choice being driven by the accuracy of locating the R peak.</w:t>
      </w:r>
    </w:p>
    <w:p>
      <w:pPr>
        <w:pStyle w:val="Heading2"/>
        <w:spacing w:after="90" w:before="220"/>
      </w:pPr>
      <w:r>
        <w:rPr>
          <w:rFonts w:ascii="Trebuchet MS" w:cs="Trebuchet MS" w:eastAsia="Trebuchet MS" w:hAnsi="Trebuchet MS"/>
          <w:b/>
          <w:bCs/>
          <w:color w:val="0E7C57"/>
          <w:sz w:val="24"/>
          <w:szCs w:val="24"/>
        </w:rPr>
        <w:t xml:space="preserve">4.2. Continuous mode on the ADS1115</w:t>
      </w:r>
    </w:p>
    <w:p>
      <w:pPr>
        <w:spacing w:after="130" w:before="0" w:line="286"/>
        <w:jc w:val="both"/>
      </w:pPr>
      <w:r>
        <w:rPr>
          <w:rFonts w:ascii="Calibri" w:cs="Calibri" w:eastAsia="Calibri" w:hAnsi="Calibri"/>
          <w:b w:val="false"/>
          <w:bCs w:val="false"/>
          <w:i w:val="false"/>
          <w:iCs w:val="false"/>
          <w:color w:val="16201C"/>
          <w:sz w:val="22"/>
          <w:szCs w:val="22"/>
        </w:rPr>
        <w:t xml:space="preserve">A subtle but important decision was running the converter in continuous mode rather than one-shot. In one-shot, each conversion at 250 SPS blocked the I2C bus for about 4 ms, starving the optical sensor, the clock and the display, which share that bus. In continuous mode the firmware reads the result register in about 0.5 ms, leaving the bus free for the rest of the interval. This was a system integration problem, not an algorithmic one, and it shows how much access scheduling on a shared resource matters.</w:t>
      </w:r>
    </w:p>
    <w:p>
      <w:pPr>
        <w:pStyle w:val="Heading2"/>
        <w:spacing w:after="90" w:before="220"/>
      </w:pPr>
      <w:r>
        <w:rPr>
          <w:rFonts w:ascii="Trebuchet MS" w:cs="Trebuchet MS" w:eastAsia="Trebuchet MS" w:hAnsi="Trebuchet MS"/>
          <w:b/>
          <w:bCs/>
          <w:color w:val="0E7C57"/>
          <w:sz w:val="24"/>
          <w:szCs w:val="24"/>
        </w:rPr>
        <w:t xml:space="preserve">4.3. QRS detection, a simplified Pan-Tompkins</w:t>
      </w:r>
    </w:p>
    <w:p>
      <w:pPr>
        <w:spacing w:after="130" w:before="0" w:line="286"/>
        <w:jc w:val="both"/>
      </w:pPr>
      <w:r>
        <w:rPr>
          <w:rFonts w:ascii="Calibri" w:cs="Calibri" w:eastAsia="Calibri" w:hAnsi="Calibri"/>
          <w:b w:val="false"/>
          <w:bCs w:val="false"/>
          <w:i w:val="false"/>
          <w:iCs w:val="false"/>
          <w:color w:val="16201C"/>
          <w:sz w:val="22"/>
          <w:szCs w:val="22"/>
        </w:rPr>
        <w:t xml:space="preserve">Beat detection reproduces the core of the Pan-Tompkins algorithm: a five-point derivative, squaring, integration over a 37-sample moving window (148 ms at 250 SPS), and an adaptive threshold with two exponential estimates, one for the signal (SPKI) and one for noise (NPKI), with </w:t>
      </w:r>
      <w:r>
        <w:rPr>
          <w:rFonts w:ascii="Calibri" w:cs="Calibri" w:eastAsia="Calibri" w:hAnsi="Calibri"/>
          <w:b/>
          <w:bCs/>
          <w:i w:val="false"/>
          <w:iCs w:val="false"/>
          <w:color w:val="16201C"/>
          <w:sz w:val="22"/>
          <w:szCs w:val="22"/>
        </w:rPr>
        <w:t xml:space="preserve">T = NPKI + 0.25 · (SPKI - NPKI)</w:t>
      </w:r>
      <w:r>
        <w:rPr>
          <w:rFonts w:ascii="Calibri" w:cs="Calibri" w:eastAsia="Calibri" w:hAnsi="Calibri"/>
          <w:b w:val="false"/>
          <w:bCs w:val="false"/>
          <w:i w:val="false"/>
          <w:iCs w:val="false"/>
          <w:color w:val="16201C"/>
          <w:sz w:val="22"/>
          <w:szCs w:val="22"/>
        </w:rPr>
        <w:t xml:space="preserve">. A 200 ms refractory period and averaging over 16 RR intervals stabilize the rate. It is a simplified variant, without searchback and without dual thresholds, a trade-off justified by real-time execution on a microcontroller.</w:t>
      </w:r>
    </w:p>
    <w:p>
      <w:pPr>
        <w:pStyle w:val="Heading2"/>
        <w:spacing w:after="90" w:before="220"/>
      </w:pPr>
      <w:r>
        <w:rPr>
          <w:rFonts w:ascii="Trebuchet MS" w:cs="Trebuchet MS" w:eastAsia="Trebuchet MS" w:hAnsi="Trebuchet MS"/>
          <w:b/>
          <w:bCs/>
          <w:color w:val="0E7C57"/>
          <w:sz w:val="24"/>
          <w:szCs w:val="24"/>
        </w:rPr>
        <w:t xml:space="preserve">4.4. SpO2 and respiration from the same optical signal</w:t>
      </w:r>
    </w:p>
    <w:p>
      <w:pPr>
        <w:spacing w:after="130" w:before="0" w:line="286"/>
        <w:jc w:val="both"/>
      </w:pPr>
      <w:r>
        <w:rPr>
          <w:rFonts w:ascii="Calibri" w:cs="Calibri" w:eastAsia="Calibri" w:hAnsi="Calibri"/>
          <w:b w:val="false"/>
          <w:bCs w:val="false"/>
          <w:i w:val="false"/>
          <w:iCs w:val="false"/>
          <w:color w:val="16201C"/>
          <w:sz w:val="22"/>
          <w:szCs w:val="22"/>
        </w:rPr>
        <w:t xml:space="preserve">Saturation uses the ratio-of-ratios method, </w:t>
      </w:r>
      <w:r>
        <w:rPr>
          <w:rFonts w:ascii="Calibri" w:cs="Calibri" w:eastAsia="Calibri" w:hAnsi="Calibri"/>
          <w:b/>
          <w:bCs/>
          <w:i w:val="false"/>
          <w:iCs w:val="false"/>
          <w:color w:val="16201C"/>
          <w:sz w:val="22"/>
          <w:szCs w:val="22"/>
        </w:rPr>
        <w:t xml:space="preserve">R = (AC_red/DC_red) / (AC_infrared/DC_infrared)</w:t>
      </w:r>
      <w:r>
        <w:rPr>
          <w:rFonts w:ascii="Calibri" w:cs="Calibri" w:eastAsia="Calibri" w:hAnsi="Calibri"/>
          <w:b w:val="false"/>
          <w:bCs w:val="false"/>
          <w:i w:val="false"/>
          <w:iCs w:val="false"/>
          <w:color w:val="16201C"/>
          <w:sz w:val="22"/>
          <w:szCs w:val="22"/>
        </w:rPr>
        <w:t xml:space="preserve">, mapped through the empirical curve </w:t>
      </w:r>
      <w:r>
        <w:rPr>
          <w:rFonts w:ascii="Calibri" w:cs="Calibri" w:eastAsia="Calibri" w:hAnsi="Calibri"/>
          <w:b/>
          <w:bCs/>
          <w:i w:val="false"/>
          <w:iCs w:val="false"/>
          <w:color w:val="16201C"/>
          <w:sz w:val="22"/>
          <w:szCs w:val="22"/>
        </w:rPr>
        <w:t xml:space="preserve">SpO2 = -45.06·R^2 + 30.35·R + 94.85</w:t>
      </w:r>
      <w:r>
        <w:rPr>
          <w:rFonts w:ascii="Calibri" w:cs="Calibri" w:eastAsia="Calibri" w:hAnsi="Calibri"/>
          <w:b w:val="false"/>
          <w:bCs w:val="false"/>
          <w:i w:val="false"/>
          <w:iCs w:val="false"/>
          <w:color w:val="16201C"/>
          <w:sz w:val="22"/>
          <w:szCs w:val="22"/>
        </w:rPr>
        <w:t xml:space="preserve"> from the sensor application note. From the DC component of the infrared signal, modulated by breathing through cardio-respiratory coupling, the firmware extracts respiratory rate with a band-pass filter formed from the difference of two exponential moving averages (band roughly 0.016 to 0.8 Hz) and zero-crossing detection. A single optical sensor thus covers two parameters, with no extra hardware.</w:t>
      </w:r>
    </w:p>
    <w:p>
      <w:pPr>
        <w:pStyle w:val="Heading2"/>
        <w:spacing w:after="90" w:before="220"/>
      </w:pPr>
      <w:r>
        <w:rPr>
          <w:rFonts w:ascii="Trebuchet MS" w:cs="Trebuchet MS" w:eastAsia="Trebuchet MS" w:hAnsi="Trebuchet MS"/>
          <w:b/>
          <w:bCs/>
          <w:color w:val="0E7C57"/>
          <w:sz w:val="24"/>
          <w:szCs w:val="24"/>
        </w:rPr>
        <w:t xml:space="preserve">4.5. Concurrency across two cores</w:t>
      </w:r>
    </w:p>
    <w:p>
      <w:pPr>
        <w:spacing w:after="130" w:before="0" w:line="286"/>
        <w:jc w:val="both"/>
      </w:pPr>
      <w:r>
        <w:rPr>
          <w:rFonts w:ascii="Calibri" w:cs="Calibri" w:eastAsia="Calibri" w:hAnsi="Calibri"/>
          <w:b w:val="false"/>
          <w:bCs w:val="false"/>
          <w:i w:val="false"/>
          <w:iCs w:val="false"/>
          <w:color w:val="16201C"/>
          <w:sz w:val="22"/>
          <w:szCs w:val="22"/>
        </w:rPr>
        <w:t xml:space="preserve">The firmware runs on FreeRTOS with eight tasks explicitly pinned across the two cores. On the acquisition core, ECG has the highest priority, followed by the optical sensor, alarms, temperature, display and buttons; the other core runs the WebSocket server and SD logging. Two mutexes, one on the shared data structure and one on the I2C bus, prevent collisions. The separation guarantees that the deterministic 4 ms acquisition is never delayed by display or communication.</w:t>
      </w:r>
    </w:p>
    <w:p>
      <w:pPr>
        <w:pStyle w:val="Heading2"/>
        <w:spacing w:after="90" w:before="220"/>
      </w:pPr>
      <w:r>
        <w:rPr>
          <w:rFonts w:ascii="Trebuchet MS" w:cs="Trebuchet MS" w:eastAsia="Trebuchet MS" w:hAnsi="Trebuchet MS"/>
          <w:b/>
          <w:bCs/>
          <w:color w:val="0E7C57"/>
          <w:sz w:val="24"/>
          <w:szCs w:val="24"/>
        </w:rPr>
        <w:t xml:space="preserve">4.6. Power with dual regulation</w:t>
      </w:r>
    </w:p>
    <w:p>
      <w:pPr>
        <w:spacing w:after="130" w:before="0" w:line="286"/>
        <w:jc w:val="both"/>
      </w:pPr>
      <w:r>
        <w:rPr>
          <w:rFonts w:ascii="Calibri" w:cs="Calibri" w:eastAsia="Calibri" w:hAnsi="Calibri"/>
          <w:b w:val="false"/>
          <w:bCs w:val="false"/>
          <w:i w:val="false"/>
          <w:iCs w:val="false"/>
          <w:color w:val="16201C"/>
          <w:sz w:val="22"/>
          <w:szCs w:val="22"/>
        </w:rPr>
        <w:t xml:space="preserve">Power starts from an 1800 mAh LiPo battery, with dedicated charging and a master switch. A boost converter produces a 5 V rail, from which an AMS1117 linear regulator derives a 3.3 V supply used only by the analog section, separate from the digital supply of the ESP32. The dual regulation keeps noisy consumers away from the sensitive measurement chain. Battery voltage is tracked through a resistive divider on the converter second channel.</w:t>
      </w:r>
    </w:p>
    <w:p>
      <w:pPr>
        <w:pStyle w:val="Heading1"/>
        <w:spacing w:after="140" w:before="120"/>
      </w:pPr>
      <w:r>
        <w:rPr>
          <w:rFonts w:ascii="Trebuchet MS" w:cs="Trebuchet MS" w:eastAsia="Trebuchet MS" w:hAnsi="Trebuchet MS"/>
          <w:b/>
          <w:bCs/>
          <w:color w:val="16201C"/>
          <w:sz w:val="30"/>
          <w:szCs w:val="30"/>
        </w:rPr>
        <w:t xml:space="preserve">5. Technical challenges solved</w:t>
      </w:r>
    </w:p>
    <w:p>
      <w:pPr>
        <w:pStyle w:val="Heading3"/>
        <w:spacing w:after="70" w:before="170"/>
      </w:pPr>
      <w:r>
        <w:rPr>
          <w:rFonts w:ascii="Trebuchet MS" w:cs="Trebuchet MS" w:eastAsia="Trebuchet MS" w:hAnsi="Trebuchet MS"/>
          <w:b/>
          <w:bCs/>
          <w:color w:val="16201C"/>
          <w:sz w:val="22"/>
          <w:szCs w:val="22"/>
        </w:rPr>
        <w:t xml:space="preserve">The offset transient that dropped sensitivity to 49%</w:t>
      </w:r>
    </w:p>
    <w:p>
      <w:pPr>
        <w:spacing w:after="130" w:before="0" w:line="286"/>
        <w:jc w:val="both"/>
      </w:pPr>
      <w:r>
        <w:rPr>
          <w:rFonts w:ascii="Calibri" w:cs="Calibri" w:eastAsia="Calibri" w:hAnsi="Calibri"/>
          <w:b w:val="false"/>
          <w:bCs w:val="false"/>
          <w:i w:val="false"/>
          <w:iCs w:val="false"/>
          <w:color w:val="16201C"/>
          <w:sz w:val="22"/>
          <w:szCs w:val="22"/>
        </w:rPr>
        <w:t xml:space="preserve">On the first run of detection on MIT-BIH, sensitivity was only 49%. The cause was not the algorithm but the data: the raw signal has a large DC component which, passed through the high-pass filter, produced a large startup transient. The adaptive threshold, computed exactly on that beginning, was inflated and missed most beats. The fix was to remove the signal mean and to skip the first second when initializing the threshold. Sensitivity rose to </w:t>
      </w:r>
      <w:r>
        <w:rPr>
          <w:rFonts w:ascii="Calibri" w:cs="Calibri" w:eastAsia="Calibri" w:hAnsi="Calibri"/>
          <w:b/>
          <w:bCs/>
          <w:i w:val="false"/>
          <w:iCs w:val="false"/>
          <w:color w:val="16201C"/>
          <w:sz w:val="22"/>
          <w:szCs w:val="22"/>
        </w:rPr>
        <w:t xml:space="preserve">98.67%</w:t>
      </w:r>
      <w:r>
        <w:rPr>
          <w:rFonts w:ascii="Calibri" w:cs="Calibri" w:eastAsia="Calibri" w:hAnsi="Calibri"/>
          <w:b w:val="false"/>
          <w:bCs w:val="false"/>
          <w:i w:val="false"/>
          <w:iCs w:val="false"/>
          <w:color w:val="16201C"/>
          <w:sz w:val="22"/>
          <w:szCs w:val="22"/>
        </w:rPr>
        <w:t xml:space="preserve">. The lesson, statable directly to the committee: a correct algorithm can appear to fail because of a data preparation issue.</w:t>
      </w:r>
    </w:p>
    <w:p>
      <w:pPr>
        <w:pStyle w:val="Heading3"/>
        <w:spacing w:after="70" w:before="170"/>
      </w:pPr>
      <w:r>
        <w:rPr>
          <w:rFonts w:ascii="Trebuchet MS" w:cs="Trebuchet MS" w:eastAsia="Trebuchet MS" w:hAnsi="Trebuchet MS"/>
          <w:b/>
          <w:bCs/>
          <w:color w:val="16201C"/>
          <w:sz w:val="22"/>
          <w:szCs w:val="22"/>
        </w:rPr>
        <w:t xml:space="preserve">Filter chain stability</w:t>
      </w:r>
    </w:p>
    <w:p>
      <w:pPr>
        <w:spacing w:after="130" w:before="0" w:line="286"/>
        <w:jc w:val="both"/>
      </w:pPr>
      <w:r>
        <w:rPr>
          <w:rFonts w:ascii="Calibri" w:cs="Calibri" w:eastAsia="Calibri" w:hAnsi="Calibri"/>
          <w:b w:val="false"/>
          <w:bCs w:val="false"/>
          <w:i w:val="false"/>
          <w:iCs w:val="false"/>
          <w:color w:val="16201C"/>
          <w:sz w:val="22"/>
          <w:szCs w:val="22"/>
        </w:rPr>
        <w:t xml:space="preserve">The filter cascade was confirmed stable by the pole positions of each biquad section, all inside the unit circle. The frequency response shows 3 dB attenuation at the 0.5 and 40 Hz cutoffs and about 66 dB at 50 Hz, enough to suppress mains interference. After filtering, the signal-to-noise ratio exceeds the 60 dB threshold considered necessary for a reliable clinical reading.</w:t>
      </w:r>
    </w:p>
    <w:p>
      <w:pPr>
        <w:pStyle w:val="Heading1"/>
        <w:spacing w:after="140" w:before="120"/>
      </w:pPr>
      <w:r>
        <w:rPr>
          <w:rFonts w:ascii="Trebuchet MS" w:cs="Trebuchet MS" w:eastAsia="Trebuchet MS" w:hAnsi="Trebuchet MS"/>
          <w:b/>
          <w:bCs/>
          <w:color w:val="16201C"/>
          <w:sz w:val="30"/>
          <w:szCs w:val="30"/>
        </w:rPr>
        <w:t xml:space="preserve">6. Validation and results</w:t>
      </w:r>
    </w:p>
    <w:p>
      <w:pPr>
        <w:spacing w:after="130" w:before="0" w:line="286"/>
        <w:jc w:val="both"/>
      </w:pPr>
      <w:r>
        <w:rPr>
          <w:rFonts w:ascii="Calibri" w:cs="Calibri" w:eastAsia="Calibri" w:hAnsi="Calibri"/>
          <w:b w:val="false"/>
          <w:bCs w:val="false"/>
          <w:i w:val="false"/>
          <w:iCs w:val="false"/>
          <w:color w:val="16201C"/>
          <w:sz w:val="22"/>
          <w:szCs w:val="22"/>
        </w:rPr>
        <w:t xml:space="preserve">Validation was designed component by component, with the established metric for each. The important distinction, which a committee values, is between what was validated on real clinical data and what was estimated or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Component</w:t>
            </w:r>
          </w:p>
        </w:tc>
        <w:tc>
          <w:tcPr>
            <w:tcW w:type="dxa" w:w="476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Method and result</w:t>
            </w:r>
          </w:p>
        </w:tc>
        <w:tc>
          <w:tcPr>
            <w:tcW w:type="dxa" w:w="20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Type</w:t>
            </w:r>
          </w:p>
        </w:tc>
      </w:tr>
      <w:tr>
        <w:tc>
          <w:tcPr>
            <w:tcW w:type="dxa" w:w="26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QRS detection</w:t>
            </w:r>
          </w:p>
        </w:tc>
        <w:tc>
          <w:tcPr>
            <w:tcW w:type="dxa" w:w="47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MIT-BIH, 30 records, about 70,000 beats, 150 ms tolerance, AAMI EC57 protocol: Se 98.67%, +P 99.11%, F1 98.89%</w:t>
            </w:r>
          </w:p>
        </w:tc>
        <w:tc>
          <w:tcPr>
            <w:tcW w:type="dxa" w:w="20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real clinical data</w:t>
            </w:r>
          </w:p>
        </w:tc>
      </w:tr>
      <w:tr>
        <w:tc>
          <w:tcPr>
            <w:tcW w:type="dxa" w:w="26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ECG filter</w:t>
            </w:r>
          </w:p>
        </w:tc>
        <w:tc>
          <w:tcPr>
            <w:tcW w:type="dxa" w:w="47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poles inside the unit circle (stable), 3 dB at 0.5 and 40 Hz, about 66 dB at 50 Hz, SNR above 60 dB</w:t>
            </w:r>
          </w:p>
        </w:tc>
        <w:tc>
          <w:tcPr>
            <w:tcW w:type="dxa" w:w="20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simulation</w:t>
            </w:r>
          </w:p>
        </w:tc>
      </w:tr>
      <w:tr>
        <w:tc>
          <w:tcPr>
            <w:tcW w:type="dxa" w:w="26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SpO2</w:t>
            </w:r>
          </w:p>
        </w:tc>
        <w:tc>
          <w:tcPr>
            <w:tcW w:type="dxa" w:w="47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error under 2% vs the reference table for R below 0.70; Bland-Altman analysis</w:t>
            </w:r>
          </w:p>
        </w:tc>
        <w:tc>
          <w:tcPr>
            <w:tcW w:type="dxa" w:w="20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deterministic + simulated</w:t>
            </w:r>
          </w:p>
        </w:tc>
      </w:tr>
      <w:tr>
        <w:tc>
          <w:tcPr>
            <w:tcW w:type="dxa" w:w="26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Display latency</w:t>
            </w:r>
          </w:p>
        </w:tc>
        <w:tc>
          <w:tcPr>
            <w:tcW w:type="dxa" w:w="47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budget under 500 ms (IEC 60601-2-27 reference)</w:t>
            </w:r>
          </w:p>
        </w:tc>
        <w:tc>
          <w:tcPr>
            <w:tcW w:type="dxa" w:w="20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estimate</w:t>
            </w:r>
          </w:p>
        </w:tc>
      </w:tr>
      <w:tr>
        <w:tc>
          <w:tcPr>
            <w:tcW w:type="dxa" w:w="26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CPU load</w:t>
            </w:r>
          </w:p>
        </w:tc>
        <w:tc>
          <w:tcPr>
            <w:tcW w:type="dxa" w:w="47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under 80% per core</w:t>
            </w:r>
          </w:p>
        </w:tc>
        <w:tc>
          <w:tcPr>
            <w:tcW w:type="dxa" w:w="20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estimate</w:t>
            </w:r>
          </w:p>
        </w:tc>
      </w:tr>
      <w:tr>
        <w:tc>
          <w:tcPr>
            <w:tcW w:type="dxa" w:w="26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Battery life</w:t>
            </w:r>
          </w:p>
        </w:tc>
        <w:tc>
          <w:tcPr>
            <w:tcW w:type="dxa" w:w="47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about 7.6 h in active mode</w:t>
            </w:r>
          </w:p>
        </w:tc>
        <w:tc>
          <w:tcPr>
            <w:tcW w:type="dxa" w:w="20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calculation from currents</w:t>
            </w:r>
          </w:p>
        </w:tc>
      </w:tr>
    </w:tbl>
    <w:p>
      <w:pPr>
        <w:pBdr>
          <w:left w:val="single" w:color="0E6F7C" w:sz="18" w:space="12"/>
        </w:pBdr>
        <w:spacing w:after="130" w:before="20" w:line="286"/>
        <w:ind w:left="280"/>
      </w:pPr>
      <w:r>
        <w:rPr>
          <w:rFonts w:ascii="Calibri" w:cs="Calibri" w:eastAsia="Calibri" w:hAnsi="Calibri"/>
          <w:b w:val="false"/>
          <w:bCs w:val="false"/>
          <w:i/>
          <w:iCs/>
          <w:color w:val="5C6B63"/>
          <w:sz w:val="21"/>
          <w:szCs w:val="21"/>
        </w:rPr>
        <w:t xml:space="preserve">Validation honesty: the Bland-Altman analysis for SpO2 used simulated pairs, not measurements on subjects with a reference co-oximeter. The principle is correct, but clinical validation of saturation remains future work. QRS detection, by contrast, was validated on real clinical data, which makes it the strongest part of the project.</w:t>
      </w:r>
    </w:p>
    <w:p>
      <w:pPr>
        <w:pStyle w:val="Heading1"/>
        <w:spacing w:after="140" w:before="120"/>
      </w:pPr>
      <w:r>
        <w:rPr>
          <w:rFonts w:ascii="Trebuchet MS" w:cs="Trebuchet MS" w:eastAsia="Trebuchet MS" w:hAnsi="Trebuchet MS"/>
          <w:b/>
          <w:bCs/>
          <w:color w:val="16201C"/>
          <w:sz w:val="30"/>
          <w:szCs w:val="30"/>
        </w:rPr>
        <w:t xml:space="preserve">7. Acknowledged limitations</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blood pressure is not measured; the system covers four of the five common parameters.</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SpO2 validation is on simulated pairs, not on subjects; empirical calibration of the R curve requires controlled desaturation studies.</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latency, CPU load, battery life and SNR are budgets and simulations from specifications, not bench measurements.</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QRS detection was validated as a MATLAB reimplementation with the same coefficients and thresholds as the firmware, not as the compiled binary running on the chip.</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there is no full-system functional validation on a human subject over time yet.</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it is a research prototype, not a certified device.</w:t>
      </w:r>
    </w:p>
    <w:p>
      <w:pPr>
        <w:pStyle w:val="Heading1"/>
        <w:spacing w:after="140" w:before="120"/>
      </w:pPr>
      <w:r>
        <w:rPr>
          <w:rFonts w:ascii="Trebuchet MS" w:cs="Trebuchet MS" w:eastAsia="Trebuchet MS" w:hAnsi="Trebuchet MS"/>
          <w:b/>
          <w:bCs/>
          <w:color w:val="16201C"/>
          <w:sz w:val="30"/>
          <w:szCs w:val="30"/>
        </w:rPr>
        <w:t xml:space="preserve">8. Standards considered</w:t>
      </w:r>
    </w:p>
    <w:p>
      <w:pPr>
        <w:spacing w:after="130" w:before="0" w:line="286"/>
        <w:jc w:val="both"/>
      </w:pPr>
      <w:r>
        <w:rPr>
          <w:rFonts w:ascii="Calibri" w:cs="Calibri" w:eastAsia="Calibri" w:hAnsi="Calibri"/>
          <w:b w:val="false"/>
          <w:bCs w:val="false"/>
          <w:i w:val="false"/>
          <w:iCs w:val="false"/>
          <w:color w:val="16201C"/>
          <w:sz w:val="22"/>
          <w:szCs w:val="22"/>
        </w:rPr>
        <w:t xml:space="preserve">The design respected the spirit of the relevant standards framework, as an exercise in rigor: IEC 60601-1 and 60601-1-8 for safety and alarms, IEC 62304 for the software life cycle, ISO 14971 for risk management and ISO 80601-2-61 for pulse oximetry, in the context of the European Medical Device Regulation. The system was not submitted for certification, and this is stated explicitly.</w:t>
      </w:r>
    </w:p>
    <w:p>
      <w:pPr>
        <w:pStyle w:val="Heading1"/>
        <w:spacing w:after="140" w:before="120"/>
      </w:pPr>
      <w:r>
        <w:rPr>
          <w:rFonts w:ascii="Trebuchet MS" w:cs="Trebuchet MS" w:eastAsia="Trebuchet MS" w:hAnsi="Trebuchet MS"/>
          <w:b/>
          <w:bCs/>
          <w:color w:val="16201C"/>
          <w:sz w:val="30"/>
          <w:szCs w:val="30"/>
        </w:rPr>
        <w:t xml:space="preserve">9. Impact and what the project demonstrates</w:t>
      </w:r>
    </w:p>
    <w:p>
      <w:pPr>
        <w:spacing w:after="130" w:before="0" w:line="286"/>
        <w:jc w:val="both"/>
      </w:pPr>
      <w:r>
        <w:rPr>
          <w:rFonts w:ascii="Calibri" w:cs="Calibri" w:eastAsia="Calibri" w:hAnsi="Calibri"/>
          <w:b w:val="false"/>
          <w:bCs w:val="false"/>
          <w:i w:val="false"/>
          <w:iCs w:val="false"/>
          <w:color w:val="16201C"/>
          <w:sz w:val="22"/>
          <w:szCs w:val="22"/>
        </w:rPr>
        <w:t xml:space="preserve">The project demonstrates the vertical integration of a complete medical device by a single person: from the sensitive analog chain and the real-time firmware, through the validated processing algorithms, to the web application, the CAD enclosure and the validation protocol. The value lies not in a new algorithm but in coherently bringing the four parameters together on a low-cost platform and validating the critical part on real clinical data, at a cost an order of magnitude below a commercial monitor.</w:t>
      </w:r>
    </w:p>
    <w:p>
      <w:pPr>
        <w:pStyle w:val="Heading1"/>
        <w:spacing w:after="140" w:before="120"/>
      </w:pPr>
      <w:r>
        <w:rPr>
          <w:rFonts w:ascii="Trebuchet MS" w:cs="Trebuchet MS" w:eastAsia="Trebuchet MS" w:hAnsi="Trebuchet MS"/>
          <w:b/>
          <w:bCs/>
          <w:color w:val="16201C"/>
          <w:sz w:val="30"/>
          <w:szCs w:val="30"/>
        </w:rPr>
        <w:t xml:space="preserve">10. Lessons and next steps</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integrating a shared resource (the I2C bus) can be more limiting than the algorithm itself; access scheduling matters.</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data preparation (offset, transients) can mask a correct algorithm; diagnosis separates the two.</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validation honesty, a clear separation between real data and estimates, is worth more than a polished number.</w:t>
      </w:r>
    </w:p>
    <w:p>
      <w:pPr>
        <w:pStyle w:val="ListParagraph"/>
        <w:numPr>
          <w:ilvl w:val="0"/>
          <w:numId w:val="2"/>
        </w:numPr>
        <w:spacing w:after="60" w:line="286"/>
      </w:pPr>
      <w:r>
        <w:rPr>
          <w:rFonts w:ascii="Calibri" w:cs="Calibri" w:eastAsia="Calibri" w:hAnsi="Calibri"/>
          <w:b w:val="false"/>
          <w:bCs w:val="false"/>
          <w:i w:val="false"/>
          <w:iCs w:val="false"/>
          <w:color w:val="16201C"/>
          <w:sz w:val="22"/>
          <w:szCs w:val="22"/>
        </w:rPr>
        <w:t xml:space="preserve">next steps: validate SpO2 on subjects against a reference, bench-measure latency and battery life, run the detector on the actual binary, and a full integrated functional pilot.</w:t>
      </w:r>
    </w:p>
    <w:p>
      <w:pPr>
        <w:pStyle w:val="Heading1"/>
        <w:spacing w:after="140" w:before="120"/>
      </w:pPr>
      <w:r>
        <w:rPr>
          <w:rFonts w:ascii="Trebuchet MS" w:cs="Trebuchet MS" w:eastAsia="Trebuchet MS" w:hAnsi="Trebuchet MS"/>
          <w:b/>
          <w:bCs/>
          <w:color w:val="16201C"/>
          <w:sz w:val="30"/>
          <w:szCs w:val="30"/>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Layer</w:t>
            </w:r>
          </w:p>
        </w:tc>
        <w:tc>
          <w:tcPr>
            <w:tcW w:type="dxa" w:w="7060"/>
            <w:tcBorders>
              <w:top w:val="single" w:color="B9CFC4" w:sz="2"/>
              <w:left w:val="single" w:color="B9CFC4" w:sz="2"/>
              <w:bottom w:val="single" w:color="B9CFC4" w:sz="2"/>
              <w:right w:val="single" w:color="B9CFC4" w:sz="2"/>
            </w:tcBorders>
            <w:shd w:fill="EAF4EF" w:val="clear"/>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Components</w:t>
            </w:r>
          </w:p>
        </w:tc>
      </w:tr>
      <w:tr>
        <w:tc>
          <w:tcPr>
            <w:tcW w:type="dxa" w:w="23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Hardware</w:t>
            </w:r>
          </w:p>
        </w:tc>
        <w:tc>
          <w:tcPr>
            <w:tcW w:type="dxa" w:w="70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ESP32-WROOM-32, AD8232, ADS1115 (16-bit), MAX30102, DS18B20, DS3231, 128x64 OLED, SD card, TP4056, MT3608, AMS1117, 1800 mAh LiPo</w:t>
            </w:r>
          </w:p>
        </w:tc>
      </w:tr>
      <w:tr>
        <w:tc>
          <w:tcPr>
            <w:tcW w:type="dxa" w:w="23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Firmware</w:t>
            </w:r>
          </w:p>
        </w:tc>
        <w:tc>
          <w:tcPr>
            <w:tcW w:type="dxa" w:w="70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C++/Arduino, FreeRTOS (8 tasks, 2 cores), PlatformIO, two mutexes, I2C at 400 kHz</w:t>
            </w:r>
          </w:p>
        </w:tc>
      </w:tr>
      <w:tr>
        <w:tc>
          <w:tcPr>
            <w:tcW w:type="dxa" w:w="23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Algorithms</w:t>
            </w:r>
          </w:p>
        </w:tc>
        <w:tc>
          <w:tcPr>
            <w:tcW w:type="dxa" w:w="70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simplified Pan-Tompkins, ratio-of-ratios, RIIV respiration, Butterworth biquad filters (HP/LP/notch)</w:t>
            </w:r>
          </w:p>
        </w:tc>
      </w:tr>
      <w:tr>
        <w:tc>
          <w:tcPr>
            <w:tcW w:type="dxa" w:w="23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Web</w:t>
            </w:r>
          </w:p>
        </w:tc>
        <w:tc>
          <w:tcPr>
            <w:tcW w:type="dxa" w:w="70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SoftAP, ESPAsyncWebServer, WebSocket, LittleFS, HTML/JS monitoring and history pages</w:t>
            </w:r>
          </w:p>
        </w:tc>
      </w:tr>
      <w:tr>
        <w:tc>
          <w:tcPr>
            <w:tcW w:type="dxa" w:w="23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Validation</w:t>
            </w:r>
          </w:p>
        </w:tc>
        <w:tc>
          <w:tcPr>
            <w:tcW w:type="dxa" w:w="70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MATLAB (14 scripts), MIT-BIH database via PhysioNet, numerical checks</w:t>
            </w:r>
          </w:p>
        </w:tc>
      </w:tr>
      <w:tr>
        <w:tc>
          <w:tcPr>
            <w:tcW w:type="dxa" w:w="230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bCs/>
                <w:color w:val="16201C"/>
                <w:sz w:val="19"/>
                <w:szCs w:val="19"/>
              </w:rPr>
              <w:t xml:space="preserve">Mechanics</w:t>
            </w:r>
          </w:p>
        </w:tc>
        <w:tc>
          <w:tcPr>
            <w:tcW w:type="dxa" w:w="7060"/>
            <w:tcBorders>
              <w:top w:val="single" w:color="B9CFC4" w:sz="2"/>
              <w:left w:val="single" w:color="B9CFC4" w:sz="2"/>
              <w:bottom w:val="single" w:color="B9CFC4" w:sz="2"/>
              <w:right w:val="single" w:color="B9CFC4" w:sz="2"/>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16201C"/>
                <w:sz w:val="19"/>
                <w:szCs w:val="19"/>
              </w:rPr>
              <w:t xml:space="preserve">CAD in Fusion 360, plywood body, 3D-printed PLA panels, aluminum profiles</w:t>
            </w:r>
          </w:p>
        </w:tc>
      </w:tr>
    </w:tbl>
    <w:p>
      <w:pPr>
        <w:pStyle w:val="Heading1"/>
        <w:spacing w:after="140" w:before="120"/>
      </w:pPr>
      <w:r>
        <w:rPr>
          <w:rFonts w:ascii="Trebuchet MS" w:cs="Trebuchet MS" w:eastAsia="Trebuchet MS" w:hAnsi="Trebuchet MS"/>
          <w:b/>
          <w:bCs/>
          <w:color w:val="16201C"/>
          <w:sz w:val="30"/>
          <w:szCs w:val="30"/>
        </w:rPr>
        <w:t xml:space="preserve">Selected references</w:t>
      </w:r>
    </w:p>
    <w:p>
      <w:pPr>
        <w:spacing w:after="100" w:line="276"/>
        <w:ind w:left="360" w:hanging="360"/>
      </w:pPr>
      <w:r>
        <w:rPr>
          <w:rFonts w:ascii="Calibri" w:cs="Calibri" w:eastAsia="Calibri" w:hAnsi="Calibri"/>
          <w:b/>
          <w:bCs/>
          <w:color w:val="16201C"/>
          <w:sz w:val="20"/>
          <w:szCs w:val="20"/>
        </w:rPr>
        <w:t xml:space="preserve">[1]  </w:t>
      </w:r>
      <w:r>
        <w:rPr>
          <w:rFonts w:ascii="Calibri" w:cs="Calibri" w:eastAsia="Calibri" w:hAnsi="Calibri"/>
          <w:color w:val="16201C"/>
          <w:sz w:val="20"/>
          <w:szCs w:val="20"/>
        </w:rPr>
        <w:t xml:space="preserve">Pan J, Tompkins WJ. A real-time QRS detection algorithm. IEEE Trans Biomed Eng. 1985.</w:t>
      </w:r>
    </w:p>
    <w:p>
      <w:pPr>
        <w:spacing w:after="100" w:line="276"/>
        <w:ind w:left="360" w:hanging="360"/>
      </w:pPr>
      <w:r>
        <w:rPr>
          <w:rFonts w:ascii="Calibri" w:cs="Calibri" w:eastAsia="Calibri" w:hAnsi="Calibri"/>
          <w:b/>
          <w:bCs/>
          <w:color w:val="16201C"/>
          <w:sz w:val="20"/>
          <w:szCs w:val="20"/>
        </w:rPr>
        <w:t xml:space="preserve">[2]  </w:t>
      </w:r>
      <w:r>
        <w:rPr>
          <w:rFonts w:ascii="Calibri" w:cs="Calibri" w:eastAsia="Calibri" w:hAnsi="Calibri"/>
          <w:color w:val="16201C"/>
          <w:sz w:val="20"/>
          <w:szCs w:val="20"/>
        </w:rPr>
        <w:t xml:space="preserve">Moody GB, Mark RG. The impact of the MIT-BIH Arrhythmia Database. IEEE EMB. 2001.</w:t>
      </w:r>
    </w:p>
    <w:p>
      <w:pPr>
        <w:spacing w:after="100" w:line="276"/>
        <w:ind w:left="360" w:hanging="360"/>
      </w:pPr>
      <w:r>
        <w:rPr>
          <w:rFonts w:ascii="Calibri" w:cs="Calibri" w:eastAsia="Calibri" w:hAnsi="Calibri"/>
          <w:b/>
          <w:bCs/>
          <w:color w:val="16201C"/>
          <w:sz w:val="20"/>
          <w:szCs w:val="20"/>
        </w:rPr>
        <w:t xml:space="preserve">[3]  </w:t>
      </w:r>
      <w:r>
        <w:rPr>
          <w:rFonts w:ascii="Calibri" w:cs="Calibri" w:eastAsia="Calibri" w:hAnsi="Calibri"/>
          <w:color w:val="16201C"/>
          <w:sz w:val="20"/>
          <w:szCs w:val="20"/>
        </w:rPr>
        <w:t xml:space="preserve">Goldberger AL, et al. PhysioBank, PhysioToolkit, and PhysioNet. Circulation. 2000.</w:t>
      </w:r>
    </w:p>
    <w:p>
      <w:pPr>
        <w:spacing w:after="100" w:line="276"/>
        <w:ind w:left="360" w:hanging="360"/>
      </w:pPr>
      <w:r>
        <w:rPr>
          <w:rFonts w:ascii="Calibri" w:cs="Calibri" w:eastAsia="Calibri" w:hAnsi="Calibri"/>
          <w:b/>
          <w:bCs/>
          <w:color w:val="16201C"/>
          <w:sz w:val="20"/>
          <w:szCs w:val="20"/>
        </w:rPr>
        <w:t xml:space="preserve">[4]  </w:t>
      </w:r>
      <w:r>
        <w:rPr>
          <w:rFonts w:ascii="Calibri" w:cs="Calibri" w:eastAsia="Calibri" w:hAnsi="Calibri"/>
          <w:color w:val="16201C"/>
          <w:sz w:val="20"/>
          <w:szCs w:val="20"/>
        </w:rPr>
        <w:t xml:space="preserve">AAMI. Testing and reporting performance of cardiac rhythm algorithms (EC57).</w:t>
      </w:r>
    </w:p>
    <w:p>
      <w:pPr>
        <w:spacing w:after="100" w:line="276"/>
        <w:ind w:left="360" w:hanging="360"/>
      </w:pPr>
      <w:r>
        <w:rPr>
          <w:rFonts w:ascii="Calibri" w:cs="Calibri" w:eastAsia="Calibri" w:hAnsi="Calibri"/>
          <w:b/>
          <w:bCs/>
          <w:color w:val="16201C"/>
          <w:sz w:val="20"/>
          <w:szCs w:val="20"/>
        </w:rPr>
        <w:t xml:space="preserve">[5]  </w:t>
      </w:r>
      <w:r>
        <w:rPr>
          <w:rFonts w:ascii="Calibri" w:cs="Calibri" w:eastAsia="Calibri" w:hAnsi="Calibri"/>
          <w:color w:val="16201C"/>
          <w:sz w:val="20"/>
          <w:szCs w:val="20"/>
        </w:rPr>
        <w:t xml:space="preserve">Giavarina D. Understanding Bland-Altman analysis. Biochem Med. 2015.</w:t>
      </w:r>
    </w:p>
    <w:p>
      <w:pPr>
        <w:spacing w:after="100" w:line="276"/>
        <w:ind w:left="360" w:hanging="360"/>
      </w:pPr>
      <w:r>
        <w:rPr>
          <w:rFonts w:ascii="Calibri" w:cs="Calibri" w:eastAsia="Calibri" w:hAnsi="Calibri"/>
          <w:b/>
          <w:bCs/>
          <w:color w:val="16201C"/>
          <w:sz w:val="20"/>
          <w:szCs w:val="20"/>
        </w:rPr>
        <w:t xml:space="preserve">[6]  </w:t>
      </w:r>
      <w:r>
        <w:rPr>
          <w:rFonts w:ascii="Calibri" w:cs="Calibri" w:eastAsia="Calibri" w:hAnsi="Calibri"/>
          <w:color w:val="16201C"/>
          <w:sz w:val="20"/>
          <w:szCs w:val="20"/>
        </w:rPr>
        <w:t xml:space="preserve">Charlton PH, et al. Breathing rate estimation from the ECG and PPG: a review. IEEE Rev Biomed Eng. 2018.</w:t>
      </w:r>
    </w:p>
    <w:p>
      <w:pPr>
        <w:spacing w:after="100" w:line="276"/>
        <w:ind w:left="360" w:hanging="360"/>
      </w:pPr>
      <w:r>
        <w:rPr>
          <w:rFonts w:ascii="Calibri" w:cs="Calibri" w:eastAsia="Calibri" w:hAnsi="Calibri"/>
          <w:b/>
          <w:bCs/>
          <w:color w:val="16201C"/>
          <w:sz w:val="20"/>
          <w:szCs w:val="20"/>
        </w:rPr>
        <w:t xml:space="preserve">[7]  </w:t>
      </w:r>
      <w:r>
        <w:rPr>
          <w:rFonts w:ascii="Calibri" w:cs="Calibri" w:eastAsia="Calibri" w:hAnsi="Calibri"/>
          <w:color w:val="16201C"/>
          <w:sz w:val="20"/>
          <w:szCs w:val="20"/>
        </w:rPr>
        <w:t xml:space="preserve">Nitzan M, Romem A, Koppel R. Pulse oximetry: fundamentals and technology update. 2014.</w:t>
      </w:r>
    </w:p>
    <w:p>
      <w:pPr>
        <w:spacing w:after="100" w:line="276"/>
        <w:ind w:left="360" w:hanging="360"/>
      </w:pPr>
      <w:r>
        <w:rPr>
          <w:rFonts w:ascii="Calibri" w:cs="Calibri" w:eastAsia="Calibri" w:hAnsi="Calibri"/>
          <w:b/>
          <w:bCs/>
          <w:color w:val="16201C"/>
          <w:sz w:val="20"/>
          <w:szCs w:val="20"/>
        </w:rPr>
        <w:t xml:space="preserve">[8]  </w:t>
      </w:r>
      <w:r>
        <w:rPr>
          <w:rFonts w:ascii="Calibri" w:cs="Calibri" w:eastAsia="Calibri" w:hAnsi="Calibri"/>
          <w:color w:val="16201C"/>
          <w:sz w:val="20"/>
          <w:szCs w:val="20"/>
        </w:rPr>
        <w:t xml:space="preserve">Analog Devices, AD8232 datasheet; Maxim, MAX30102 / AN6409; Espressif, ESP32-WROOM-32 datasheet.</w:t>
      </w:r>
    </w:p>
    <w:p>
      <w:pPr>
        <w:spacing w:before="240"/>
      </w:pPr>
      <w:r>
        <w:rPr>
          <w:rFonts w:ascii="Calibri" w:cs="Calibri" w:eastAsia="Calibri" w:hAnsi="Calibri"/>
          <w:b w:val="false"/>
          <w:bCs w:val="false"/>
          <w:i/>
          <w:iCs/>
          <w:color w:val="5C6B63"/>
          <w:sz w:val="18"/>
          <w:szCs w:val="18"/>
        </w:rPr>
        <w:t xml:space="preserve">Indicative case study, compiled from the code and data of the VitalMonitor project.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60"/>
      <w:outlineLvl w:val="0"/>
    </w:pPr>
    <w:rPr>
      <w:rFonts w:ascii="Trebuchet MS" w:cs="Trebuchet MS" w:eastAsia="Trebuchet MS" w:hAnsi="Trebuchet MS"/>
      <w:b/>
      <w:bCs/>
      <w:color w:val="16201C"/>
      <w:sz w:val="30"/>
      <w:szCs w:val="30"/>
    </w:rPr>
  </w:style>
  <w:style w:type="paragraph" w:styleId="Heading2">
    <w:name w:val="Heading 2"/>
    <w:basedOn w:val="Normal"/>
    <w:next w:val="Normal"/>
    <w:qFormat/>
    <w:pPr>
      <w:spacing w:after="90" w:before="200"/>
      <w:outlineLvl w:val="1"/>
    </w:pPr>
    <w:rPr>
      <w:rFonts w:ascii="Trebuchet MS" w:cs="Trebuchet MS" w:eastAsia="Trebuchet MS" w:hAnsi="Trebuchet MS"/>
      <w:b/>
      <w:bCs/>
      <w:color w:val="0E7C57"/>
      <w:sz w:val="24"/>
      <w:szCs w:val="24"/>
    </w:rPr>
  </w:style>
  <w:style w:type="paragraph" w:styleId="Heading3">
    <w:name w:val="Heading 3"/>
    <w:basedOn w:val="Normal"/>
    <w:next w:val="Normal"/>
    <w:qFormat/>
    <w:pPr>
      <w:spacing w:after="70" w:before="160"/>
      <w:outlineLvl w:val="2"/>
    </w:pPr>
    <w:rPr>
      <w:rFonts w:ascii="Trebuchet MS" w:cs="Trebuchet MS" w:eastAsia="Trebuchet MS" w:hAnsi="Trebuchet MS"/>
      <w:b/>
      <w:bCs/>
      <w:color w:val="1620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2026-06-21T11:29:06.987Z</dcterms:created>
  <dcterms:modified xsi:type="dcterms:W3CDTF">2026-06-21T11:29:06.989Z</dcterms:modified>
</cp:coreProperties>
</file>

<file path=docProps/custom.xml><?xml version="1.0" encoding="utf-8"?>
<Properties xmlns="http://schemas.openxmlformats.org/officeDocument/2006/custom-properties" xmlns:vt="http://schemas.openxmlformats.org/officeDocument/2006/docPropsVTypes"/>
</file>