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0CC7" w14:textId="22837779" w:rsidR="00B35D4D" w:rsidRDefault="00C6720A" w:rsidP="00C6720A">
      <w:pPr>
        <w:jc w:val="both"/>
      </w:pPr>
      <w:r>
        <w:t>Restaurarea functionala si estetica a unui pacinent tanar cu tulburari severe dentare. Integritatea dintilor a fost compromisa de mai multi factori care au dus la modificari grave ale reliefului dentar si al relatiilor interdentare. Cu ajutorul unor tratamente dentare si protetice complexe s-a reusit asanarea cavitatii bucale si restabilirea functiei si esteticii dento-faciale a pacientului.</w:t>
      </w:r>
      <w:bookmarkStart w:id="0" w:name="_GoBack"/>
      <w:bookmarkEnd w:id="0"/>
    </w:p>
    <w:sectPr w:rsidR="00B3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5C"/>
    <w:rsid w:val="000B505C"/>
    <w:rsid w:val="00B35D4D"/>
    <w:rsid w:val="00C6720A"/>
    <w:rsid w:val="00C8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E11"/>
  <w15:chartTrackingRefBased/>
  <w15:docId w15:val="{51CBD145-11D9-4224-B4AA-67CF778C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2</cp:revision>
  <dcterms:created xsi:type="dcterms:W3CDTF">2019-10-19T23:28:00Z</dcterms:created>
  <dcterms:modified xsi:type="dcterms:W3CDTF">2019-10-19T23:40:00Z</dcterms:modified>
</cp:coreProperties>
</file>