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i w:val="0"/>
        </w:rPr>
        <w:t>Protocolo experimental</w:t>
        <w:br/>
        <w:t>Gestión de políticas en un firewall SDN sobre Ryu</w:t>
      </w:r>
    </w:p>
    <w:p>
      <w:pPr>
        <w:jc w:val="center"/>
      </w:pPr>
      <w:r>
        <w:rPr>
          <w:i/>
        </w:rPr>
        <w:t xml:space="preserve">Documento de trabajo para la reimplementación y la campaña de medición del artículo dirigido a </w:t>
      </w:r>
      <w:r>
        <w:rPr>
          <w:i/>
        </w:rPr>
        <w:t>Journal of Network and Systems Management</w:t>
      </w:r>
      <w:r>
        <w:rPr>
          <w:i/>
        </w:rPr>
        <w:t xml:space="preserve"> (JNSM). Versión 2, 27 de octubre de 2026.</w:t>
      </w:r>
    </w:p>
    <w:p>
      <w:pPr>
        <w:pStyle w:val="Heading1"/>
      </w:pPr>
      <w:r>
        <w:t>1. Propósito y alcance</w:t>
      </w:r>
    </w:p>
    <w:p>
      <w:pPr>
        <w:jc w:val="both"/>
      </w:pPr>
      <w:r>
        <w:rPr>
          <w:i w:val="0"/>
        </w:rPr>
        <w:t>La versión actual del manuscrito se apoya en capturas conservadas de distintas etapas del desarrollo. Ese material sirve para mostrar que el sistema funciona, pero no basta para una revista de gestión de redes, que espera mediciones repetibles. El protocolo define qué medir sobre la reimplementación, cómo hacerlo y cuántas veces, para que los datos respondan directamente a las preguntas del artículo y no haya que reconstruirlos después.</w:t>
      </w:r>
    </w:p>
    <w:p>
      <w:pPr>
        <w:jc w:val="both"/>
      </w:pPr>
      <w:r>
        <w:rPr>
          <w:i w:val="0"/>
        </w:rPr>
        <w:t>El enfoque se centra en la gestión de políticas, que es lo que JNSM considera dentro de su alcance: cómo se administra una regla por la interfaz norte, cuánto tarda en aplicarse en el plano de datos, qué coste añade, cómo escala, qué tan protegida está la interfaz de gestión y si las políticas sobreviven a un reinicio del controlador. La detección automática de DoS y escaneo de puertos entra como función de gestión reactiva.</w:t>
      </w:r>
    </w:p>
    <w:p>
      <w:pPr>
        <w:pStyle w:val="Heading1"/>
      </w:pPr>
      <w:r>
        <w:t>2. Preguntas de investigación</w:t>
      </w:r>
    </w:p>
    <w:p>
      <w:pPr>
        <w:keepNext/>
        <w:spacing w:line="240" w:lineRule="auto"/>
      </w:pPr>
      <w:r>
        <w:rPr>
          <w:b/>
          <w:sz w:val="20"/>
        </w:rPr>
        <w:t xml:space="preserve">Table 1 </w:t>
      </w:r>
      <w:r>
        <w:rPr>
          <w:i w:val="0"/>
          <w:sz w:val="20"/>
        </w:rPr>
        <w:t>Preguntas de investigación, métricas y experimento asociado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val="clear" w:fill="E7E6E6"/>
          </w:tcPr>
          <w:p>
            <w:pPr>
              <w:spacing w:line="240" w:lineRule="auto"/>
            </w:pPr>
            <w:r>
              <w:rPr>
                <w:b/>
                <w:i w:val="0"/>
                <w:sz w:val="18"/>
              </w:rPr>
              <w:t>RQ</w:t>
            </w:r>
          </w:p>
        </w:tc>
        <w:tc>
          <w:tcPr>
            <w:tcW w:type="dxa" w:w="4252"/>
            <w:shd w:val="clear" w:fill="E7E6E6"/>
          </w:tcPr>
          <w:p>
            <w:pPr>
              <w:spacing w:line="240" w:lineRule="auto"/>
            </w:pPr>
            <w:r>
              <w:rPr>
                <w:b/>
                <w:i w:val="0"/>
                <w:sz w:val="18"/>
              </w:rPr>
              <w:t>Pregunta</w:t>
            </w:r>
          </w:p>
        </w:tc>
        <w:tc>
          <w:tcPr>
            <w:tcW w:type="dxa" w:w="2835"/>
            <w:shd w:val="clear" w:fill="E7E6E6"/>
          </w:tcPr>
          <w:p>
            <w:pPr>
              <w:spacing w:line="240" w:lineRule="auto"/>
            </w:pPr>
            <w:r>
              <w:rPr>
                <w:b/>
                <w:i w:val="0"/>
                <w:sz w:val="18"/>
              </w:rPr>
              <w:t>Métrica principal</w:t>
            </w:r>
          </w:p>
        </w:tc>
        <w:tc>
          <w:tcPr>
            <w:tcW w:type="dxa" w:w="680"/>
            <w:shd w:val="clear" w:fill="E7E6E6"/>
          </w:tcPr>
          <w:p>
            <w:pPr>
              <w:spacing w:line="240" w:lineRule="auto"/>
            </w:pPr>
            <w:r>
              <w:rPr>
                <w:b/>
                <w:i w:val="0"/>
                <w:sz w:val="18"/>
              </w:rPr>
              <w:t>Exp.</w:t>
            </w:r>
          </w:p>
        </w:tc>
      </w:tr>
      <w:tr>
        <w:tc>
          <w:tcPr>
            <w:tcW w:type="dxa" w:w="680"/>
          </w:tcPr>
          <w:p>
            <w:pPr>
              <w:spacing w:line="240" w:lineRule="auto" w:after="0"/>
            </w:pPr>
            <w:r>
              <w:rPr>
                <w:i w:val="0"/>
                <w:sz w:val="18"/>
              </w:rPr>
              <w:t>RQ1</w:t>
            </w:r>
          </w:p>
        </w:tc>
        <w:tc>
          <w:tcPr>
            <w:tcW w:type="dxa" w:w="4252"/>
          </w:tcPr>
          <w:p>
            <w:pPr>
              <w:spacing w:line="240" w:lineRule="auto" w:after="0"/>
            </w:pPr>
            <w:r>
              <w:rPr>
                <w:i w:val="0"/>
                <w:sz w:val="18"/>
              </w:rPr>
              <w:t>¿Cuánto tarda una orden REST de bloqueo o desbloqueo en reflejarse en el switch y en el tráfico?</w:t>
            </w:r>
          </w:p>
        </w:tc>
        <w:tc>
          <w:tcPr>
            <w:tcW w:type="dxa" w:w="2835"/>
          </w:tcPr>
          <w:p>
            <w:pPr>
              <w:spacing w:line="240" w:lineRule="auto" w:after="0"/>
            </w:pPr>
            <w:r>
              <w:rPr>
                <w:i w:val="0"/>
                <w:sz w:val="18"/>
              </w:rPr>
              <w:t>t_api, t_flow, t_dp (ms)</w:t>
            </w:r>
          </w:p>
        </w:tc>
        <w:tc>
          <w:tcPr>
            <w:tcW w:type="dxa" w:w="680"/>
          </w:tcPr>
          <w:p>
            <w:pPr>
              <w:spacing w:line="240" w:lineRule="auto" w:after="0"/>
            </w:pPr>
            <w:r>
              <w:rPr>
                <w:i w:val="0"/>
                <w:sz w:val="18"/>
              </w:rPr>
              <w:t>E1</w:t>
            </w:r>
          </w:p>
        </w:tc>
      </w:tr>
      <w:tr>
        <w:tc>
          <w:tcPr>
            <w:tcW w:type="dxa" w:w="680"/>
          </w:tcPr>
          <w:p>
            <w:pPr>
              <w:spacing w:line="240" w:lineRule="auto" w:after="0"/>
            </w:pPr>
            <w:r>
              <w:rPr>
                <w:i w:val="0"/>
                <w:sz w:val="18"/>
              </w:rPr>
              <w:t>RQ2</w:t>
            </w:r>
          </w:p>
        </w:tc>
        <w:tc>
          <w:tcPr>
            <w:tcW w:type="dxa" w:w="4252"/>
          </w:tcPr>
          <w:p>
            <w:pPr>
              <w:spacing w:line="240" w:lineRule="auto" w:after="0"/>
            </w:pPr>
            <w:r>
              <w:rPr>
                <w:i w:val="0"/>
                <w:sz w:val="18"/>
              </w:rPr>
              <w:t>¿Qué sobrecarga introduce el firewall sobre el tráfico permitido?</w:t>
            </w:r>
          </w:p>
        </w:tc>
        <w:tc>
          <w:tcPr>
            <w:tcW w:type="dxa" w:w="2835"/>
          </w:tcPr>
          <w:p>
            <w:pPr>
              <w:spacing w:line="240" w:lineRule="auto" w:after="0"/>
            </w:pPr>
            <w:r>
              <w:rPr>
                <w:i w:val="0"/>
                <w:sz w:val="18"/>
              </w:rPr>
              <w:t>RTT, pérdida, throughput TCP, jitter UDP</w:t>
            </w:r>
          </w:p>
        </w:tc>
        <w:tc>
          <w:tcPr>
            <w:tcW w:type="dxa" w:w="680"/>
          </w:tcPr>
          <w:p>
            <w:pPr>
              <w:spacing w:line="240" w:lineRule="auto" w:after="0"/>
            </w:pPr>
            <w:r>
              <w:rPr>
                <w:i w:val="0"/>
                <w:sz w:val="18"/>
              </w:rPr>
              <w:t>E2</w:t>
            </w:r>
          </w:p>
        </w:tc>
      </w:tr>
      <w:tr>
        <w:tc>
          <w:tcPr>
            <w:tcW w:type="dxa" w:w="680"/>
          </w:tcPr>
          <w:p>
            <w:pPr>
              <w:spacing w:line="240" w:lineRule="auto" w:after="0"/>
            </w:pPr>
            <w:r>
              <w:rPr>
                <w:i w:val="0"/>
                <w:sz w:val="18"/>
              </w:rPr>
              <w:t>RQ3</w:t>
            </w:r>
          </w:p>
        </w:tc>
        <w:tc>
          <w:tcPr>
            <w:tcW w:type="dxa" w:w="4252"/>
          </w:tcPr>
          <w:p>
            <w:pPr>
              <w:spacing w:line="240" w:lineRule="auto" w:after="0"/>
            </w:pPr>
            <w:r>
              <w:rPr>
                <w:i w:val="0"/>
                <w:sz w:val="18"/>
              </w:rPr>
              <w:t>¿Cómo cambia el desempeño de la gestión al crecer la red y el número de reglas?</w:t>
            </w:r>
          </w:p>
        </w:tc>
        <w:tc>
          <w:tcPr>
            <w:tcW w:type="dxa" w:w="2835"/>
          </w:tcPr>
          <w:p>
            <w:pPr>
              <w:spacing w:line="240" w:lineRule="auto" w:after="0"/>
            </w:pPr>
            <w:r>
              <w:rPr>
                <w:i w:val="0"/>
                <w:sz w:val="18"/>
              </w:rPr>
              <w:t>t_flow, t_api, tamaño de tabla, CPU y RAM de Ryu</w:t>
            </w:r>
          </w:p>
        </w:tc>
        <w:tc>
          <w:tcPr>
            <w:tcW w:type="dxa" w:w="680"/>
          </w:tcPr>
          <w:p>
            <w:pPr>
              <w:spacing w:line="240" w:lineRule="auto" w:after="0"/>
            </w:pPr>
            <w:r>
              <w:rPr>
                <w:i w:val="0"/>
                <w:sz w:val="18"/>
              </w:rPr>
              <w:t>E3</w:t>
            </w:r>
          </w:p>
        </w:tc>
      </w:tr>
      <w:tr>
        <w:tc>
          <w:tcPr>
            <w:tcW w:type="dxa" w:w="680"/>
          </w:tcPr>
          <w:p>
            <w:pPr>
              <w:spacing w:line="240" w:lineRule="auto" w:after="0"/>
            </w:pPr>
            <w:r>
              <w:rPr>
                <w:i w:val="0"/>
                <w:sz w:val="18"/>
              </w:rPr>
              <w:t>RQ4</w:t>
            </w:r>
          </w:p>
        </w:tc>
        <w:tc>
          <w:tcPr>
            <w:tcW w:type="dxa" w:w="4252"/>
          </w:tcPr>
          <w:p>
            <w:pPr>
              <w:spacing w:line="240" w:lineRule="auto" w:after="0"/>
            </w:pPr>
            <w:r>
              <w:rPr>
                <w:i w:val="0"/>
                <w:sz w:val="18"/>
              </w:rPr>
              <w:t>¿La autenticación bloquea el acceso no autorizado y cuánto cuesta?</w:t>
            </w:r>
          </w:p>
        </w:tc>
        <w:tc>
          <w:tcPr>
            <w:tcW w:type="dxa" w:w="2835"/>
          </w:tcPr>
          <w:p>
            <w:pPr>
              <w:spacing w:line="240" w:lineRule="auto" w:after="0"/>
            </w:pPr>
            <w:r>
              <w:rPr>
                <w:i w:val="0"/>
                <w:sz w:val="18"/>
              </w:rPr>
              <w:t>Códigos HTTP por tipo de credencial; latencia con y sin autenticación</w:t>
            </w:r>
          </w:p>
        </w:tc>
        <w:tc>
          <w:tcPr>
            <w:tcW w:type="dxa" w:w="680"/>
          </w:tcPr>
          <w:p>
            <w:pPr>
              <w:spacing w:line="240" w:lineRule="auto" w:after="0"/>
            </w:pPr>
            <w:r>
              <w:rPr>
                <w:i w:val="0"/>
                <w:sz w:val="18"/>
              </w:rPr>
              <w:t>E4</w:t>
            </w:r>
          </w:p>
        </w:tc>
      </w:tr>
      <w:tr>
        <w:tc>
          <w:tcPr>
            <w:tcW w:type="dxa" w:w="680"/>
          </w:tcPr>
          <w:p>
            <w:pPr>
              <w:spacing w:line="240" w:lineRule="auto" w:after="0"/>
            </w:pPr>
            <w:r>
              <w:rPr>
                <w:i w:val="0"/>
                <w:sz w:val="18"/>
              </w:rPr>
              <w:t>RQ5</w:t>
            </w:r>
          </w:p>
        </w:tc>
        <w:tc>
          <w:tcPr>
            <w:tcW w:type="dxa" w:w="4252"/>
          </w:tcPr>
          <w:p>
            <w:pPr>
              <w:spacing w:line="240" w:lineRule="auto" w:after="0"/>
            </w:pPr>
            <w:r>
              <w:rPr>
                <w:i w:val="0"/>
                <w:sz w:val="18"/>
              </w:rPr>
              <w:t>¿Con qué eficacia detecta y mitiga el módulo reactivo ataques DoS y escaneos?</w:t>
            </w:r>
          </w:p>
        </w:tc>
        <w:tc>
          <w:tcPr>
            <w:tcW w:type="dxa" w:w="2835"/>
          </w:tcPr>
          <w:p>
            <w:pPr>
              <w:spacing w:line="240" w:lineRule="auto" w:after="0"/>
            </w:pPr>
            <w:r>
              <w:rPr>
                <w:i w:val="0"/>
                <w:sz w:val="18"/>
              </w:rPr>
              <w:t>Tasa de detección, falsos positivos, tiempo de detección</w:t>
            </w:r>
          </w:p>
        </w:tc>
        <w:tc>
          <w:tcPr>
            <w:tcW w:type="dxa" w:w="680"/>
          </w:tcPr>
          <w:p>
            <w:pPr>
              <w:spacing w:line="240" w:lineRule="auto" w:after="0"/>
            </w:pPr>
            <w:r>
              <w:rPr>
                <w:i w:val="0"/>
                <w:sz w:val="18"/>
              </w:rPr>
              <w:t>E5</w:t>
            </w:r>
          </w:p>
        </w:tc>
      </w:tr>
      <w:tr>
        <w:tc>
          <w:tcPr>
            <w:tcW w:type="dxa" w:w="680"/>
          </w:tcPr>
          <w:p>
            <w:pPr>
              <w:spacing w:line="240" w:lineRule="auto" w:after="0"/>
            </w:pPr>
            <w:r>
              <w:rPr>
                <w:i w:val="0"/>
                <w:sz w:val="18"/>
              </w:rPr>
              <w:t>RQ6</w:t>
            </w:r>
          </w:p>
        </w:tc>
        <w:tc>
          <w:tcPr>
            <w:tcW w:type="dxa" w:w="4252"/>
          </w:tcPr>
          <w:p>
            <w:pPr>
              <w:spacing w:line="240" w:lineRule="auto" w:after="0"/>
            </w:pPr>
            <w:r>
              <w:rPr>
                <w:i w:val="0"/>
                <w:sz w:val="18"/>
              </w:rPr>
              <w:t>¿Se restauran las políticas tras reiniciar el controlador y se mantienen consistentes?</w:t>
            </w:r>
          </w:p>
        </w:tc>
        <w:tc>
          <w:tcPr>
            <w:tcW w:type="dxa" w:w="2835"/>
          </w:tcPr>
          <w:p>
            <w:pPr>
              <w:spacing w:line="240" w:lineRule="auto" w:after="0"/>
            </w:pPr>
            <w:r>
              <w:rPr>
                <w:i w:val="0"/>
                <w:sz w:val="18"/>
              </w:rPr>
              <w:t>Reglas restauradas, tiempo de restauración, discrepancias API/switch</w:t>
            </w:r>
          </w:p>
        </w:tc>
        <w:tc>
          <w:tcPr>
            <w:tcW w:type="dxa" w:w="680"/>
          </w:tcPr>
          <w:p>
            <w:pPr>
              <w:spacing w:line="240" w:lineRule="auto" w:after="0"/>
            </w:pPr>
            <w:r>
              <w:rPr>
                <w:i w:val="0"/>
                <w:sz w:val="18"/>
              </w:rPr>
              <w:t>E6</w:t>
            </w:r>
          </w:p>
        </w:tc>
      </w:tr>
    </w:tbl>
    <w:p>
      <w:pPr>
        <w:spacing w:after="80"/>
      </w:pPr>
    </w:p>
    <w:p>
      <w:pPr>
        <w:jc w:val="both"/>
      </w:pPr>
      <w:r>
        <w:rPr>
          <w:i w:val="0"/>
        </w:rPr>
        <w:t>Las hipótesis se plantean de forma direccional y se contrastan con pruebas no paramétricas. Para RQ2 se espera que el tráfico permitido no muestre diferencias relevantes frente a la línea base, porque las reglas se instalan de forma proactiva. Para RQ3 se espera que t_flow aumente con el número de reglas. No se fijan umbrales numéricos de antemano: el artículo reportará lo observado, con su incertidumbre.</w:t>
      </w:r>
    </w:p>
    <w:p>
      <w:pPr>
        <w:pStyle w:val="Heading1"/>
      </w:pPr>
      <w:r>
        <w:t>3. Entorno de pruebas</w:t>
      </w:r>
    </w:p>
    <w:p>
      <w:pPr>
        <w:jc w:val="both"/>
      </w:pPr>
      <w:r>
        <w:rPr>
          <w:i w:val="0"/>
        </w:rPr>
        <w:t xml:space="preserve">Todo se ejecuta en una sola máquina virtual para que las condiciones sean comparables. El script </w:t>
      </w:r>
      <w:r>
        <w:rPr>
          <w:rFonts w:ascii="Courier New" w:hAnsi="Courier New"/>
          <w:i w:val="0"/>
          <w:sz w:val="20"/>
        </w:rPr>
        <w:t>common.save_environment()</w:t>
      </w:r>
      <w:r>
        <w:rPr>
          <w:i w:val="0"/>
        </w:rPr>
        <w:t xml:space="preserve"> llena automáticamente buena parte de esta tabla en </w:t>
      </w:r>
      <w:r>
        <w:rPr>
          <w:rFonts w:ascii="Courier New" w:hAnsi="Courier New"/>
          <w:i w:val="0"/>
          <w:sz w:val="20"/>
        </w:rPr>
        <w:t>results/environment.json</w:t>
      </w:r>
      <w:r>
        <w:rPr>
          <w:i w:val="0"/>
        </w:rPr>
        <w:t>, que alimenta la Tabla 2 del manuscrito.</w:t>
      </w:r>
    </w:p>
    <w:p>
      <w:pPr>
        <w:keepNext/>
        <w:spacing w:line="240" w:lineRule="auto"/>
      </w:pPr>
      <w:r>
        <w:rPr>
          <w:b/>
          <w:sz w:val="20"/>
        </w:rPr>
        <w:t xml:space="preserve">Table 2 </w:t>
      </w:r>
      <w:r>
        <w:rPr>
          <w:i w:val="0"/>
          <w:sz w:val="20"/>
        </w:rPr>
        <w:t>Entorno de pruebas (a completar con environment.json)</w:t>
      </w:r>
    </w:p>
    <w:tbl>
      <w:tblPr>
        <w:tblStyle w:val="TableGrid"/>
        <w:tblW w:type="auto" w:w="0"/>
        <w:jc w:val="center"/>
        <w:tblLook w:firstColumn="1" w:firstRow="1" w:lastColumn="0" w:lastRow="0" w:noHBand="0" w:noVBand="1" w:val="04A0"/>
      </w:tblPr>
      <w:tblGrid>
        <w:gridCol w:w="4680"/>
        <w:gridCol w:w="4680"/>
      </w:tblGrid>
      <w:tr>
        <w:tc>
          <w:tcPr>
            <w:tcW w:type="dxa" w:w="2835"/>
            <w:shd w:val="clear" w:fill="E7E6E6"/>
          </w:tcPr>
          <w:p>
            <w:pPr>
              <w:spacing w:line="240" w:lineRule="auto"/>
            </w:pPr>
            <w:r>
              <w:rPr>
                <w:b/>
                <w:i w:val="0"/>
                <w:sz w:val="18"/>
              </w:rPr>
              <w:t>Componente</w:t>
            </w:r>
          </w:p>
        </w:tc>
        <w:tc>
          <w:tcPr>
            <w:tcW w:type="dxa" w:w="5669"/>
            <w:shd w:val="clear" w:fill="E7E6E6"/>
          </w:tcPr>
          <w:p>
            <w:pPr>
              <w:spacing w:line="240" w:lineRule="auto"/>
            </w:pPr>
            <w:r>
              <w:rPr>
                <w:b/>
                <w:i w:val="0"/>
                <w:sz w:val="18"/>
              </w:rPr>
              <w:t>Valor</w:t>
            </w:r>
          </w:p>
        </w:tc>
      </w:tr>
      <w:tr>
        <w:tc>
          <w:tcPr>
            <w:tcW w:type="dxa" w:w="2835"/>
          </w:tcPr>
          <w:p>
            <w:pPr>
              <w:spacing w:line="240" w:lineRule="auto" w:after="0"/>
            </w:pPr>
            <w:r>
              <w:rPr>
                <w:i w:val="0"/>
                <w:sz w:val="18"/>
              </w:rPr>
              <w:t>Hipervisor y anfitrión</w:t>
            </w:r>
          </w:p>
        </w:tc>
        <w:tc>
          <w:tcPr>
            <w:tcW w:type="dxa" w:w="5669"/>
          </w:tcPr>
          <w:p>
            <w:pPr>
              <w:spacing w:line="240" w:lineRule="auto" w:after="0"/>
            </w:pPr>
            <w:r>
              <w:rPr>
                <w:i w:val="0"/>
                <w:sz w:val="18"/>
                <w:highlight w:val="yellow"/>
              </w:rPr>
              <w:t>[COMPLETAR: VirtualBox x.y, CPU y RAM del anfitrión]</w:t>
            </w:r>
          </w:p>
        </w:tc>
      </w:tr>
      <w:tr>
        <w:tc>
          <w:tcPr>
            <w:tcW w:type="dxa" w:w="2835"/>
          </w:tcPr>
          <w:p>
            <w:pPr>
              <w:spacing w:line="240" w:lineRule="auto" w:after="0"/>
            </w:pPr>
            <w:r>
              <w:rPr>
                <w:i w:val="0"/>
                <w:sz w:val="18"/>
              </w:rPr>
              <w:t>VM: SO / kernel</w:t>
            </w:r>
          </w:p>
        </w:tc>
        <w:tc>
          <w:tcPr>
            <w:tcW w:type="dxa" w:w="5669"/>
          </w:tcPr>
          <w:p>
            <w:pPr>
              <w:spacing w:line="240" w:lineRule="auto" w:after="0"/>
            </w:pPr>
            <w:r>
              <w:rPr>
                <w:i w:val="0"/>
                <w:sz w:val="18"/>
                <w:highlight w:val="yellow"/>
              </w:rPr>
              <w:t>[COMPLETAR: Ubuntu 20.04/22.04, kernel]</w:t>
            </w:r>
          </w:p>
        </w:tc>
      </w:tr>
      <w:tr>
        <w:tc>
          <w:tcPr>
            <w:tcW w:type="dxa" w:w="2835"/>
          </w:tcPr>
          <w:p>
            <w:pPr>
              <w:spacing w:line="240" w:lineRule="auto" w:after="0"/>
            </w:pPr>
            <w:r>
              <w:rPr>
                <w:i w:val="0"/>
                <w:sz w:val="18"/>
              </w:rPr>
              <w:t>VM: vCPU / RAM</w:t>
            </w:r>
          </w:p>
        </w:tc>
        <w:tc>
          <w:tcPr>
            <w:tcW w:type="dxa" w:w="5669"/>
          </w:tcPr>
          <w:p>
            <w:pPr>
              <w:spacing w:line="240" w:lineRule="auto" w:after="0"/>
            </w:pPr>
            <w:r>
              <w:rPr>
                <w:i w:val="0"/>
                <w:sz w:val="18"/>
                <w:highlight w:val="yellow"/>
              </w:rPr>
              <w:t>[COMPLETAR]</w:t>
            </w:r>
          </w:p>
        </w:tc>
      </w:tr>
      <w:tr>
        <w:tc>
          <w:tcPr>
            <w:tcW w:type="dxa" w:w="2835"/>
          </w:tcPr>
          <w:p>
            <w:pPr>
              <w:spacing w:line="240" w:lineRule="auto" w:after="0"/>
            </w:pPr>
            <w:r>
              <w:rPr>
                <w:i w:val="0"/>
                <w:sz w:val="18"/>
              </w:rPr>
              <w:t>Python</w:t>
            </w:r>
          </w:p>
        </w:tc>
        <w:tc>
          <w:tcPr>
            <w:tcW w:type="dxa" w:w="5669"/>
          </w:tcPr>
          <w:p>
            <w:pPr>
              <w:spacing w:line="240" w:lineRule="auto" w:after="0"/>
            </w:pPr>
            <w:r>
              <w:rPr>
                <w:i w:val="0"/>
                <w:sz w:val="18"/>
                <w:highlight w:val="yellow"/>
              </w:rPr>
              <w:t>[COMPLETAR]</w:t>
            </w:r>
          </w:p>
        </w:tc>
      </w:tr>
      <w:tr>
        <w:tc>
          <w:tcPr>
            <w:tcW w:type="dxa" w:w="2835"/>
          </w:tcPr>
          <w:p>
            <w:pPr>
              <w:spacing w:line="240" w:lineRule="auto" w:after="0"/>
            </w:pPr>
            <w:r>
              <w:rPr>
                <w:i w:val="0"/>
                <w:sz w:val="18"/>
              </w:rPr>
              <w:t>Ryu</w:t>
            </w:r>
          </w:p>
        </w:tc>
        <w:tc>
          <w:tcPr>
            <w:tcW w:type="dxa" w:w="5669"/>
          </w:tcPr>
          <w:p>
            <w:pPr>
              <w:spacing w:line="240" w:lineRule="auto" w:after="0"/>
            </w:pPr>
            <w:r>
              <w:rPr>
                <w:i w:val="0"/>
                <w:sz w:val="18"/>
              </w:rPr>
              <w:t>4.34 (versión registrada en la captura original)</w:t>
            </w:r>
          </w:p>
        </w:tc>
      </w:tr>
      <w:tr>
        <w:tc>
          <w:tcPr>
            <w:tcW w:type="dxa" w:w="2835"/>
          </w:tcPr>
          <w:p>
            <w:pPr>
              <w:spacing w:line="240" w:lineRule="auto" w:after="0"/>
            </w:pPr>
            <w:r>
              <w:rPr>
                <w:i w:val="0"/>
                <w:sz w:val="18"/>
              </w:rPr>
              <w:t>Mininet / Open vSwitch</w:t>
            </w:r>
          </w:p>
        </w:tc>
        <w:tc>
          <w:tcPr>
            <w:tcW w:type="dxa" w:w="5669"/>
          </w:tcPr>
          <w:p>
            <w:pPr>
              <w:spacing w:line="240" w:lineRule="auto" w:after="0"/>
            </w:pPr>
            <w:r>
              <w:rPr>
                <w:i w:val="0"/>
                <w:sz w:val="18"/>
                <w:highlight w:val="yellow"/>
              </w:rPr>
              <w:t>[COMPLETAR]</w:t>
            </w:r>
          </w:p>
        </w:tc>
      </w:tr>
      <w:tr>
        <w:tc>
          <w:tcPr>
            <w:tcW w:type="dxa" w:w="2835"/>
          </w:tcPr>
          <w:p>
            <w:pPr>
              <w:spacing w:line="240" w:lineRule="auto" w:after="0"/>
            </w:pPr>
            <w:r>
              <w:rPr>
                <w:i w:val="0"/>
                <w:sz w:val="18"/>
              </w:rPr>
              <w:t>OpenFlow</w:t>
            </w:r>
          </w:p>
        </w:tc>
        <w:tc>
          <w:tcPr>
            <w:tcW w:type="dxa" w:w="5669"/>
          </w:tcPr>
          <w:p>
            <w:pPr>
              <w:spacing w:line="240" w:lineRule="auto" w:after="0"/>
            </w:pPr>
            <w:r>
              <w:rPr>
                <w:i w:val="0"/>
                <w:sz w:val="18"/>
              </w:rPr>
              <w:t>1.3</w:t>
            </w:r>
          </w:p>
        </w:tc>
      </w:tr>
      <w:tr>
        <w:tc>
          <w:tcPr>
            <w:tcW w:type="dxa" w:w="2835"/>
          </w:tcPr>
          <w:p>
            <w:pPr>
              <w:spacing w:line="240" w:lineRule="auto" w:after="0"/>
            </w:pPr>
            <w:r>
              <w:rPr>
                <w:i w:val="0"/>
                <w:sz w:val="18"/>
              </w:rPr>
              <w:t>Herramientas de tráfico</w:t>
            </w:r>
          </w:p>
        </w:tc>
        <w:tc>
          <w:tcPr>
            <w:tcW w:type="dxa" w:w="5669"/>
          </w:tcPr>
          <w:p>
            <w:pPr>
              <w:spacing w:line="240" w:lineRule="auto" w:after="0"/>
            </w:pPr>
            <w:r>
              <w:rPr>
                <w:i w:val="0"/>
                <w:sz w:val="18"/>
              </w:rPr>
              <w:t xml:space="preserve">ping, iperf3, hping3, nmap </w:t>
            </w:r>
            <w:r>
              <w:rPr>
                <w:i w:val="0"/>
                <w:sz w:val="18"/>
                <w:highlight w:val="yellow"/>
              </w:rPr>
              <w:t>[COMPLETAR versiones]</w:t>
            </w:r>
          </w:p>
        </w:tc>
      </w:tr>
      <w:tr>
        <w:tc>
          <w:tcPr>
            <w:tcW w:type="dxa" w:w="2835"/>
          </w:tcPr>
          <w:p>
            <w:pPr>
              <w:spacing w:line="240" w:lineRule="auto" w:after="0"/>
            </w:pPr>
            <w:r>
              <w:rPr>
                <w:i w:val="0"/>
                <w:sz w:val="18"/>
              </w:rPr>
              <w:t>Panel de control</w:t>
            </w:r>
          </w:p>
        </w:tc>
        <w:tc>
          <w:tcPr>
            <w:tcW w:type="dxa" w:w="5669"/>
          </w:tcPr>
          <w:p>
            <w:pPr>
              <w:spacing w:line="240" w:lineRule="auto" w:after="0"/>
            </w:pPr>
            <w:r>
              <w:rPr>
                <w:i w:val="0"/>
                <w:sz w:val="18"/>
              </w:rPr>
              <w:t xml:space="preserve">Flask </w:t>
            </w:r>
            <w:r>
              <w:rPr>
                <w:i w:val="0"/>
                <w:sz w:val="18"/>
                <w:highlight w:val="yellow"/>
              </w:rPr>
              <w:t>[COMPLETAR versión]</w:t>
            </w:r>
            <w:r>
              <w:rPr>
                <w:i w:val="0"/>
                <w:sz w:val="18"/>
              </w:rPr>
              <w:t>, puerto 5000</w:t>
            </w:r>
          </w:p>
        </w:tc>
      </w:tr>
    </w:tbl>
    <w:p>
      <w:pPr>
        <w:spacing w:after="80"/>
      </w:pPr>
    </w:p>
    <w:p>
      <w:pPr>
        <w:pStyle w:val="Heading1"/>
      </w:pPr>
      <w:r>
        <w:t>4. Factores y niveles</w:t>
      </w:r>
    </w:p>
    <w:p>
      <w:pPr>
        <w:keepNext/>
        <w:spacing w:line="240" w:lineRule="auto"/>
      </w:pPr>
      <w:r>
        <w:rPr>
          <w:b/>
          <w:sz w:val="20"/>
        </w:rPr>
        <w:t xml:space="preserve">Table 3 </w:t>
      </w:r>
      <w:r>
        <w:rPr>
          <w:i w:val="0"/>
          <w:sz w:val="20"/>
        </w:rPr>
        <w:t>Factores experimentales</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val="clear" w:fill="E7E6E6"/>
          </w:tcPr>
          <w:p>
            <w:pPr>
              <w:spacing w:line="240" w:lineRule="auto"/>
            </w:pPr>
            <w:r>
              <w:rPr>
                <w:b/>
                <w:i w:val="0"/>
                <w:sz w:val="18"/>
              </w:rPr>
              <w:t>Factor</w:t>
            </w:r>
          </w:p>
        </w:tc>
        <w:tc>
          <w:tcPr>
            <w:tcW w:type="dxa" w:w="3685"/>
            <w:shd w:val="clear" w:fill="E7E6E6"/>
          </w:tcPr>
          <w:p>
            <w:pPr>
              <w:spacing w:line="240" w:lineRule="auto"/>
            </w:pPr>
            <w:r>
              <w:rPr>
                <w:b/>
                <w:i w:val="0"/>
                <w:sz w:val="18"/>
              </w:rPr>
              <w:t>Niveles</w:t>
            </w:r>
          </w:p>
        </w:tc>
        <w:tc>
          <w:tcPr>
            <w:tcW w:type="dxa" w:w="1701"/>
            <w:shd w:val="clear" w:fill="E7E6E6"/>
          </w:tcPr>
          <w:p>
            <w:pPr>
              <w:spacing w:line="240" w:lineRule="auto"/>
            </w:pPr>
            <w:r>
              <w:rPr>
                <w:b/>
                <w:i w:val="0"/>
                <w:sz w:val="18"/>
              </w:rPr>
              <w:t>Experimentos</w:t>
            </w:r>
          </w:p>
        </w:tc>
      </w:tr>
      <w:tr>
        <w:tc>
          <w:tcPr>
            <w:tcW w:type="dxa" w:w="2835"/>
          </w:tcPr>
          <w:p>
            <w:pPr>
              <w:spacing w:line="240" w:lineRule="auto" w:after="0"/>
            </w:pPr>
            <w:r>
              <w:rPr>
                <w:i w:val="0"/>
                <w:sz w:val="18"/>
              </w:rPr>
              <w:t>Número de hosts (single, n)</w:t>
            </w:r>
          </w:p>
        </w:tc>
        <w:tc>
          <w:tcPr>
            <w:tcW w:type="dxa" w:w="3685"/>
          </w:tcPr>
          <w:p>
            <w:pPr>
              <w:spacing w:line="240" w:lineRule="auto" w:after="0"/>
            </w:pPr>
            <w:r>
              <w:rPr>
                <w:i w:val="0"/>
                <w:sz w:val="18"/>
              </w:rPr>
              <w:t>3, 10, 20, 40</w:t>
            </w:r>
          </w:p>
        </w:tc>
        <w:tc>
          <w:tcPr>
            <w:tcW w:type="dxa" w:w="1701"/>
          </w:tcPr>
          <w:p>
            <w:pPr>
              <w:spacing w:line="240" w:lineRule="auto" w:after="0"/>
            </w:pPr>
            <w:r>
              <w:rPr>
                <w:i w:val="0"/>
                <w:sz w:val="18"/>
              </w:rPr>
              <w:t>E1, E3</w:t>
            </w:r>
          </w:p>
        </w:tc>
      </w:tr>
      <w:tr>
        <w:tc>
          <w:tcPr>
            <w:tcW w:type="dxa" w:w="2835"/>
          </w:tcPr>
          <w:p>
            <w:pPr>
              <w:spacing w:line="240" w:lineRule="auto" w:after="0"/>
            </w:pPr>
            <w:r>
              <w:rPr>
                <w:i w:val="0"/>
                <w:sz w:val="18"/>
              </w:rPr>
              <w:t>Reglas DROP precargadas</w:t>
            </w:r>
          </w:p>
        </w:tc>
        <w:tc>
          <w:tcPr>
            <w:tcW w:type="dxa" w:w="3685"/>
          </w:tcPr>
          <w:p>
            <w:pPr>
              <w:spacing w:line="240" w:lineRule="auto" w:after="0"/>
            </w:pPr>
            <w:r>
              <w:rPr>
                <w:i w:val="0"/>
                <w:sz w:val="18"/>
              </w:rPr>
              <w:t>1, 10, 50, 100, 250, 500</w:t>
            </w:r>
          </w:p>
        </w:tc>
        <w:tc>
          <w:tcPr>
            <w:tcW w:type="dxa" w:w="1701"/>
          </w:tcPr>
          <w:p>
            <w:pPr>
              <w:spacing w:line="240" w:lineRule="auto" w:after="0"/>
            </w:pPr>
            <w:r>
              <w:rPr>
                <w:i w:val="0"/>
                <w:sz w:val="18"/>
              </w:rPr>
              <w:t>E3</w:t>
            </w:r>
          </w:p>
        </w:tc>
      </w:tr>
      <w:tr>
        <w:tc>
          <w:tcPr>
            <w:tcW w:type="dxa" w:w="2835"/>
          </w:tcPr>
          <w:p>
            <w:pPr>
              <w:spacing w:line="240" w:lineRule="auto" w:after="0"/>
            </w:pPr>
            <w:r>
              <w:rPr>
                <w:i w:val="0"/>
                <w:sz w:val="18"/>
              </w:rPr>
              <w:t>Escenario de control</w:t>
            </w:r>
          </w:p>
        </w:tc>
        <w:tc>
          <w:tcPr>
            <w:tcW w:type="dxa" w:w="3685"/>
          </w:tcPr>
          <w:p>
            <w:pPr>
              <w:spacing w:line="240" w:lineRule="auto" w:after="0"/>
            </w:pPr>
            <w:r>
              <w:rPr>
                <w:i w:val="0"/>
                <w:sz w:val="18"/>
              </w:rPr>
              <w:t>simple_switch_13 / firewall vacío / firewall con 100 reglas / firewall con copia al controlador</w:t>
            </w:r>
          </w:p>
        </w:tc>
        <w:tc>
          <w:tcPr>
            <w:tcW w:type="dxa" w:w="1701"/>
          </w:tcPr>
          <w:p>
            <w:pPr>
              <w:spacing w:line="240" w:lineRule="auto" w:after="0"/>
            </w:pPr>
            <w:r>
              <w:rPr>
                <w:i w:val="0"/>
                <w:sz w:val="18"/>
              </w:rPr>
              <w:t>E2</w:t>
            </w:r>
          </w:p>
        </w:tc>
      </w:tr>
      <w:tr>
        <w:tc>
          <w:tcPr>
            <w:tcW w:type="dxa" w:w="2835"/>
          </w:tcPr>
          <w:p>
            <w:pPr>
              <w:spacing w:line="240" w:lineRule="auto" w:after="0"/>
            </w:pPr>
            <w:r>
              <w:rPr>
                <w:i w:val="0"/>
                <w:sz w:val="18"/>
              </w:rPr>
              <w:t>Tipo de credencial</w:t>
            </w:r>
          </w:p>
        </w:tc>
        <w:tc>
          <w:tcPr>
            <w:tcW w:type="dxa" w:w="3685"/>
          </w:tcPr>
          <w:p>
            <w:pPr>
              <w:spacing w:line="240" w:lineRule="auto" w:after="0"/>
            </w:pPr>
            <w:r>
              <w:rPr>
                <w:i w:val="0"/>
                <w:sz w:val="18"/>
              </w:rPr>
              <w:t>Válida / inválida / ausente</w:t>
            </w:r>
          </w:p>
        </w:tc>
        <w:tc>
          <w:tcPr>
            <w:tcW w:type="dxa" w:w="1701"/>
          </w:tcPr>
          <w:p>
            <w:pPr>
              <w:spacing w:line="240" w:lineRule="auto" w:after="0"/>
            </w:pPr>
            <w:r>
              <w:rPr>
                <w:i w:val="0"/>
                <w:sz w:val="18"/>
              </w:rPr>
              <w:t>E4</w:t>
            </w:r>
          </w:p>
        </w:tc>
      </w:tr>
      <w:tr>
        <w:tc>
          <w:tcPr>
            <w:tcW w:type="dxa" w:w="2835"/>
          </w:tcPr>
          <w:p>
            <w:pPr>
              <w:spacing w:line="240" w:lineRule="auto" w:after="0"/>
            </w:pPr>
            <w:r>
              <w:rPr>
                <w:i w:val="0"/>
                <w:sz w:val="18"/>
              </w:rPr>
              <w:t>Tráfico</w:t>
            </w:r>
          </w:p>
        </w:tc>
        <w:tc>
          <w:tcPr>
            <w:tcW w:type="dxa" w:w="3685"/>
          </w:tcPr>
          <w:p>
            <w:pPr>
              <w:spacing w:line="240" w:lineRule="auto" w:after="0"/>
            </w:pPr>
            <w:r>
              <w:rPr>
                <w:i w:val="0"/>
                <w:sz w:val="18"/>
              </w:rPr>
              <w:t>Benigno ligero (ping 1/s) / benigno masivo (iperf3 TCP 5 s) / DoS ICMP / escaneo SYN</w:t>
            </w:r>
          </w:p>
        </w:tc>
        <w:tc>
          <w:tcPr>
            <w:tcW w:type="dxa" w:w="1701"/>
          </w:tcPr>
          <w:p>
            <w:pPr>
              <w:spacing w:line="240" w:lineRule="auto" w:after="0"/>
            </w:pPr>
            <w:r>
              <w:rPr>
                <w:i w:val="0"/>
                <w:sz w:val="18"/>
              </w:rPr>
              <w:t>E5</w:t>
            </w:r>
          </w:p>
        </w:tc>
      </w:tr>
      <w:tr>
        <w:tc>
          <w:tcPr>
            <w:tcW w:type="dxa" w:w="2835"/>
          </w:tcPr>
          <w:p>
            <w:pPr>
              <w:spacing w:line="240" w:lineRule="auto" w:after="0"/>
            </w:pPr>
            <w:r>
              <w:rPr>
                <w:i w:val="0"/>
                <w:sz w:val="18"/>
              </w:rPr>
              <w:t>Tasa de ataque (paquetes/s)</w:t>
            </w:r>
          </w:p>
        </w:tc>
        <w:tc>
          <w:tcPr>
            <w:tcW w:type="dxa" w:w="3685"/>
          </w:tcPr>
          <w:p>
            <w:pPr>
              <w:spacing w:line="240" w:lineRule="auto" w:after="0"/>
            </w:pPr>
            <w:r>
              <w:rPr>
                <w:i w:val="0"/>
                <w:sz w:val="18"/>
              </w:rPr>
              <w:t>10, 100, 500</w:t>
            </w:r>
          </w:p>
        </w:tc>
        <w:tc>
          <w:tcPr>
            <w:tcW w:type="dxa" w:w="1701"/>
          </w:tcPr>
          <w:p>
            <w:pPr>
              <w:spacing w:line="240" w:lineRule="auto" w:after="0"/>
            </w:pPr>
            <w:r>
              <w:rPr>
                <w:i w:val="0"/>
                <w:sz w:val="18"/>
              </w:rPr>
              <w:t>E5</w:t>
            </w:r>
          </w:p>
        </w:tc>
      </w:tr>
      <w:tr>
        <w:tc>
          <w:tcPr>
            <w:tcW w:type="dxa" w:w="2835"/>
          </w:tcPr>
          <w:p>
            <w:pPr>
              <w:spacing w:line="240" w:lineRule="auto" w:after="0"/>
            </w:pPr>
            <w:r>
              <w:rPr>
                <w:i w:val="0"/>
                <w:sz w:val="18"/>
              </w:rPr>
              <w:t>Reglas antes del reinicio</w:t>
            </w:r>
          </w:p>
        </w:tc>
        <w:tc>
          <w:tcPr>
            <w:tcW w:type="dxa" w:w="3685"/>
          </w:tcPr>
          <w:p>
            <w:pPr>
              <w:spacing w:line="240" w:lineRule="auto" w:after="0"/>
            </w:pPr>
            <w:r>
              <w:rPr>
                <w:i w:val="0"/>
                <w:sz w:val="18"/>
              </w:rPr>
              <w:t>1, 10, 100</w:t>
            </w:r>
          </w:p>
        </w:tc>
        <w:tc>
          <w:tcPr>
            <w:tcW w:type="dxa" w:w="1701"/>
          </w:tcPr>
          <w:p>
            <w:pPr>
              <w:spacing w:line="240" w:lineRule="auto" w:after="0"/>
            </w:pPr>
            <w:r>
              <w:rPr>
                <w:i w:val="0"/>
                <w:sz w:val="18"/>
              </w:rPr>
              <w:t>E6</w:t>
            </w:r>
          </w:p>
        </w:tc>
      </w:tr>
    </w:tbl>
    <w:p>
      <w:pPr>
        <w:spacing w:after="80"/>
      </w:pPr>
    </w:p>
    <w:p>
      <w:pPr>
        <w:keepNext/>
        <w:spacing w:line="240" w:lineRule="auto"/>
      </w:pPr>
      <w:r>
        <w:rPr>
          <w:b/>
          <w:sz w:val="20"/>
        </w:rPr>
        <w:t xml:space="preserve">Table 4 </w:t>
      </w:r>
      <w:r>
        <w:rPr>
          <w:i w:val="0"/>
          <w:sz w:val="20"/>
        </w:rPr>
        <w:t>Configuración del firewall en cada experimento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val="clear" w:fill="E7E6E6"/>
          </w:tcPr>
          <w:p>
            <w:pPr>
              <w:spacing w:line="240" w:lineRule="auto"/>
            </w:pPr>
            <w:r>
              <w:rPr>
                <w:b/>
                <w:i w:val="0"/>
                <w:sz w:val="18"/>
              </w:rPr>
              <w:t>Experimentos</w:t>
            </w:r>
          </w:p>
        </w:tc>
        <w:tc>
          <w:tcPr>
            <w:tcW w:type="dxa" w:w="907"/>
            <w:shd w:val="clear" w:fill="E7E6E6"/>
          </w:tcPr>
          <w:p>
            <w:pPr>
              <w:spacing w:line="240" w:lineRule="auto"/>
            </w:pPr>
            <w:r>
              <w:rPr>
                <w:b/>
                <w:i w:val="0"/>
                <w:sz w:val="18"/>
              </w:rPr>
              <w:t>FW_AUTH</w:t>
            </w:r>
          </w:p>
        </w:tc>
        <w:tc>
          <w:tcPr>
            <w:tcW w:type="dxa" w:w="1020"/>
            <w:shd w:val="clear" w:fill="E7E6E6"/>
          </w:tcPr>
          <w:p>
            <w:pPr>
              <w:spacing w:line="240" w:lineRule="auto"/>
            </w:pPr>
            <w:r>
              <w:rPr>
                <w:b/>
                <w:i w:val="0"/>
                <w:sz w:val="18"/>
              </w:rPr>
              <w:t>FW_MIRROR</w:t>
            </w:r>
          </w:p>
        </w:tc>
        <w:tc>
          <w:tcPr>
            <w:tcW w:type="dxa" w:w="1020"/>
            <w:shd w:val="clear" w:fill="E7E6E6"/>
          </w:tcPr>
          <w:p>
            <w:pPr>
              <w:spacing w:line="240" w:lineRule="auto"/>
            </w:pPr>
            <w:r>
              <w:rPr>
                <w:b/>
                <w:i w:val="0"/>
                <w:sz w:val="18"/>
              </w:rPr>
              <w:t>FW_DETECT</w:t>
            </w:r>
          </w:p>
        </w:tc>
        <w:tc>
          <w:tcPr>
            <w:tcW w:type="dxa" w:w="3288"/>
            <w:shd w:val="clear" w:fill="E7E6E6"/>
          </w:tcPr>
          <w:p>
            <w:pPr>
              <w:spacing w:line="240" w:lineRule="auto"/>
            </w:pPr>
            <w:r>
              <w:rPr>
                <w:b/>
                <w:i w:val="0"/>
                <w:sz w:val="18"/>
              </w:rPr>
              <w:t>Motivo</w:t>
            </w:r>
          </w:p>
        </w:tc>
      </w:tr>
      <w:tr>
        <w:tc>
          <w:tcPr>
            <w:tcW w:type="dxa" w:w="2268"/>
          </w:tcPr>
          <w:p>
            <w:pPr>
              <w:spacing w:line="240" w:lineRule="auto" w:after="0"/>
            </w:pPr>
            <w:r>
              <w:rPr>
                <w:i w:val="0"/>
                <w:sz w:val="18"/>
              </w:rPr>
              <w:t>E1, E3, E4 (auth), E6</w:t>
            </w:r>
          </w:p>
        </w:tc>
        <w:tc>
          <w:tcPr>
            <w:tcW w:type="dxa" w:w="907"/>
          </w:tcPr>
          <w:p>
            <w:pPr>
              <w:spacing w:line="240" w:lineRule="auto" w:after="0"/>
            </w:pPr>
            <w:r>
              <w:rPr>
                <w:i w:val="0"/>
                <w:sz w:val="18"/>
              </w:rPr>
              <w:t>1</w:t>
            </w:r>
          </w:p>
        </w:tc>
        <w:tc>
          <w:tcPr>
            <w:tcW w:type="dxa" w:w="1020"/>
          </w:tcPr>
          <w:p>
            <w:pPr>
              <w:spacing w:line="240" w:lineRule="auto" w:after="0"/>
            </w:pPr>
            <w:r>
              <w:rPr>
                <w:i w:val="0"/>
                <w:sz w:val="18"/>
              </w:rPr>
              <w:t>0</w:t>
            </w:r>
          </w:p>
        </w:tc>
        <w:tc>
          <w:tcPr>
            <w:tcW w:type="dxa" w:w="1020"/>
          </w:tcPr>
          <w:p>
            <w:pPr>
              <w:spacing w:line="240" w:lineRule="auto" w:after="0"/>
            </w:pPr>
            <w:r>
              <w:rPr>
                <w:i w:val="0"/>
                <w:sz w:val="18"/>
              </w:rPr>
              <w:t>0</w:t>
            </w:r>
          </w:p>
        </w:tc>
        <w:tc>
          <w:tcPr>
            <w:tcW w:type="dxa" w:w="3288"/>
          </w:tcPr>
          <w:p>
            <w:pPr>
              <w:spacing w:line="240" w:lineRule="auto" w:after="0"/>
            </w:pPr>
            <w:r>
              <w:rPr>
                <w:i w:val="0"/>
                <w:sz w:val="18"/>
              </w:rPr>
              <w:t>Medir la gestión sin interferencia del detector</w:t>
            </w:r>
          </w:p>
        </w:tc>
      </w:tr>
      <w:tr>
        <w:tc>
          <w:tcPr>
            <w:tcW w:type="dxa" w:w="2268"/>
          </w:tcPr>
          <w:p>
            <w:pPr>
              <w:spacing w:line="240" w:lineRule="auto" w:after="0"/>
            </w:pPr>
            <w:r>
              <w:rPr>
                <w:i w:val="0"/>
                <w:sz w:val="18"/>
              </w:rPr>
              <w:t>E4 (sin autenticación)</w:t>
            </w:r>
          </w:p>
        </w:tc>
        <w:tc>
          <w:tcPr>
            <w:tcW w:type="dxa" w:w="907"/>
          </w:tcPr>
          <w:p>
            <w:pPr>
              <w:spacing w:line="240" w:lineRule="auto" w:after="0"/>
            </w:pPr>
            <w:r>
              <w:rPr>
                <w:i w:val="0"/>
                <w:sz w:val="18"/>
              </w:rPr>
              <w:t>0</w:t>
            </w:r>
          </w:p>
        </w:tc>
        <w:tc>
          <w:tcPr>
            <w:tcW w:type="dxa" w:w="1020"/>
          </w:tcPr>
          <w:p>
            <w:pPr>
              <w:spacing w:line="240" w:lineRule="auto" w:after="0"/>
            </w:pPr>
            <w:r>
              <w:rPr>
                <w:i w:val="0"/>
                <w:sz w:val="18"/>
              </w:rPr>
              <w:t>0</w:t>
            </w:r>
          </w:p>
        </w:tc>
        <w:tc>
          <w:tcPr>
            <w:tcW w:type="dxa" w:w="1020"/>
          </w:tcPr>
          <w:p>
            <w:pPr>
              <w:spacing w:line="240" w:lineRule="auto" w:after="0"/>
            </w:pPr>
            <w:r>
              <w:rPr>
                <w:i w:val="0"/>
                <w:sz w:val="18"/>
              </w:rPr>
              <w:t>0</w:t>
            </w:r>
          </w:p>
        </w:tc>
        <w:tc>
          <w:tcPr>
            <w:tcW w:type="dxa" w:w="3288"/>
          </w:tcPr>
          <w:p>
            <w:pPr>
              <w:spacing w:line="240" w:lineRule="auto" w:after="0"/>
            </w:pPr>
            <w:r>
              <w:rPr>
                <w:i w:val="0"/>
                <w:sz w:val="18"/>
              </w:rPr>
              <w:t>Referencia para el costo de la autenticación</w:t>
            </w:r>
          </w:p>
        </w:tc>
      </w:tr>
      <w:tr>
        <w:tc>
          <w:tcPr>
            <w:tcW w:type="dxa" w:w="2268"/>
          </w:tcPr>
          <w:p>
            <w:pPr>
              <w:spacing w:line="240" w:lineRule="auto" w:after="0"/>
            </w:pPr>
            <w:r>
              <w:rPr>
                <w:i w:val="0"/>
                <w:sz w:val="18"/>
              </w:rPr>
              <w:t>E2</w:t>
            </w:r>
          </w:p>
        </w:tc>
        <w:tc>
          <w:tcPr>
            <w:tcW w:type="dxa" w:w="907"/>
          </w:tcPr>
          <w:p>
            <w:pPr>
              <w:spacing w:line="240" w:lineRule="auto" w:after="0"/>
            </w:pPr>
            <w:r>
              <w:rPr>
                <w:i w:val="0"/>
                <w:sz w:val="18"/>
              </w:rPr>
              <w:t>1</w:t>
            </w:r>
          </w:p>
        </w:tc>
        <w:tc>
          <w:tcPr>
            <w:tcW w:type="dxa" w:w="1020"/>
          </w:tcPr>
          <w:p>
            <w:pPr>
              <w:spacing w:line="240" w:lineRule="auto" w:after="0"/>
            </w:pPr>
            <w:r>
              <w:rPr>
                <w:i w:val="0"/>
                <w:sz w:val="18"/>
              </w:rPr>
              <w:t>0 / 1</w:t>
            </w:r>
          </w:p>
        </w:tc>
        <w:tc>
          <w:tcPr>
            <w:tcW w:type="dxa" w:w="1020"/>
          </w:tcPr>
          <w:p>
            <w:pPr>
              <w:spacing w:line="240" w:lineRule="auto" w:after="0"/>
            </w:pPr>
            <w:r>
              <w:rPr>
                <w:i w:val="0"/>
                <w:sz w:val="18"/>
              </w:rPr>
              <w:t>0</w:t>
            </w:r>
          </w:p>
        </w:tc>
        <w:tc>
          <w:tcPr>
            <w:tcW w:type="dxa" w:w="3288"/>
          </w:tcPr>
          <w:p>
            <w:pPr>
              <w:spacing w:line="240" w:lineRule="auto" w:after="0"/>
            </w:pPr>
            <w:r>
              <w:rPr>
                <w:i w:val="0"/>
                <w:sz w:val="18"/>
              </w:rPr>
              <w:t>Aislar el costo de las reglas y el de la copia al controlador</w:t>
            </w:r>
          </w:p>
        </w:tc>
      </w:tr>
      <w:tr>
        <w:tc>
          <w:tcPr>
            <w:tcW w:type="dxa" w:w="2268"/>
          </w:tcPr>
          <w:p>
            <w:pPr>
              <w:spacing w:line="240" w:lineRule="auto" w:after="0"/>
            </w:pPr>
            <w:r>
              <w:rPr>
                <w:i w:val="0"/>
                <w:sz w:val="18"/>
              </w:rPr>
              <w:t>E5</w:t>
            </w:r>
          </w:p>
        </w:tc>
        <w:tc>
          <w:tcPr>
            <w:tcW w:type="dxa" w:w="907"/>
          </w:tcPr>
          <w:p>
            <w:pPr>
              <w:spacing w:line="240" w:lineRule="auto" w:after="0"/>
            </w:pPr>
            <w:r>
              <w:rPr>
                <w:i w:val="0"/>
                <w:sz w:val="18"/>
              </w:rPr>
              <w:t>1</w:t>
            </w:r>
          </w:p>
        </w:tc>
        <w:tc>
          <w:tcPr>
            <w:tcW w:type="dxa" w:w="1020"/>
          </w:tcPr>
          <w:p>
            <w:pPr>
              <w:spacing w:line="240" w:lineRule="auto" w:after="0"/>
            </w:pPr>
            <w:r>
              <w:rPr>
                <w:i w:val="0"/>
                <w:sz w:val="18"/>
              </w:rPr>
              <w:t>1</w:t>
            </w:r>
          </w:p>
        </w:tc>
        <w:tc>
          <w:tcPr>
            <w:tcW w:type="dxa" w:w="1020"/>
          </w:tcPr>
          <w:p>
            <w:pPr>
              <w:spacing w:line="240" w:lineRule="auto" w:after="0"/>
            </w:pPr>
            <w:r>
              <w:rPr>
                <w:i w:val="0"/>
                <w:sz w:val="18"/>
              </w:rPr>
              <w:t>1</w:t>
            </w:r>
          </w:p>
        </w:tc>
        <w:tc>
          <w:tcPr>
            <w:tcW w:type="dxa" w:w="3288"/>
          </w:tcPr>
          <w:p>
            <w:pPr>
              <w:spacing w:line="240" w:lineRule="auto" w:after="0"/>
            </w:pPr>
            <w:r>
              <w:rPr>
                <w:i w:val="0"/>
                <w:sz w:val="18"/>
              </w:rPr>
              <w:t>El detector necesita ver los paquetes</w:t>
            </w:r>
          </w:p>
        </w:tc>
      </w:tr>
    </w:tbl>
    <w:p>
      <w:pPr>
        <w:spacing w:after="80"/>
      </w:pPr>
    </w:p>
    <w:p>
      <w:pPr>
        <w:jc w:val="both"/>
      </w:pPr>
      <w:r>
        <w:rPr>
          <w:i w:val="0"/>
        </w:rPr>
        <w:t>Con el detector activo, la sonda de E1 (500 paquetes/s) supera el umbral de DoS y el host de medición queda bloqueado; por eso la gestión se mide con la detección desactivada.</w:t>
      </w:r>
    </w:p>
    <w:p>
      <w:pPr>
        <w:jc w:val="both"/>
      </w:pPr>
      <w:r>
        <w:rPr>
          <w:i w:val="0"/>
        </w:rPr>
        <w:t>Cada condición se repite 30 veces, con 3 corridas previas de calentamiento que se descartan. Treinta repeticiones bastan para estimar medianas e intervalos bootstrap estables en distribuciones de latencia, que suelen ser asimétricas. Si una condición muestra mucha dispersión, conviene ampliarla a 50 antes de redactar resultados.</w:t>
      </w:r>
    </w:p>
    <w:p>
      <w:pPr>
        <w:pStyle w:val="Heading1"/>
      </w:pPr>
      <w:r>
        <w:t>5. Procedimiento por experimento</w:t>
      </w:r>
    </w:p>
    <w:p>
      <w:pPr>
        <w:pStyle w:val="Heading2"/>
      </w:pPr>
      <w:r>
        <w:t>E1. Latencia de aplicación de políticas (RQ1)</w:t>
      </w:r>
    </w:p>
    <w:p>
      <w:pPr>
        <w:jc w:val="both"/>
      </w:pPr>
      <w:r>
        <w:rPr>
          <w:i w:val="0"/>
        </w:rPr>
        <w:t xml:space="preserve">Con Ryu y el firewall en marcha, el script crea la topología, inicia un ping cada 2 ms desde h1 hacia el último host y envía la orden de bloqueo por la API. Se registran tres tiempos medidos desde el envío de la orden: la respuesta HTTP (t_api), la aparición de las dos reglas DROP en la tabla del switch consultada con </w:t>
      </w:r>
      <w:r>
        <w:rPr>
          <w:rFonts w:ascii="Courier New" w:hAnsi="Courier New"/>
          <w:i w:val="0"/>
          <w:sz w:val="20"/>
        </w:rPr>
        <w:t>ovs-ofctl</w:t>
      </w:r>
      <w:r>
        <w:rPr>
          <w:i w:val="0"/>
        </w:rPr>
        <w:t xml:space="preserve"> (t_flow) y el último eco recibido antes del corte (t_dp). El desbloqueo se mide igual, tomando como t_dp el primer eco que vuelve. Se corre con 3, 10, 20 y 40 hosts.</w:t>
      </w:r>
    </w:p>
    <w:p>
      <w:pPr>
        <w:jc w:val="both"/>
      </w:pPr>
      <w:r>
        <w:rPr>
          <w:i w:val="0"/>
        </w:rPr>
        <w:t xml:space="preserve">La resolución de t_dp está limitada por el intervalo del ping (2 ms), y la de t_flow por el sondeo de </w:t>
      </w:r>
      <w:r>
        <w:rPr>
          <w:rFonts w:ascii="Courier New" w:hAnsi="Courier New"/>
          <w:i w:val="0"/>
          <w:sz w:val="20"/>
        </w:rPr>
        <w:t>ovs-ofctl</w:t>
      </w:r>
      <w:r>
        <w:rPr>
          <w:i w:val="0"/>
        </w:rPr>
        <w:t>, que cuesta algunos milisegundos por consulta. Ambas limitaciones se declaran en el artículo.</w:t>
      </w:r>
    </w:p>
    <w:p>
      <w:pPr>
        <w:pStyle w:val="Heading2"/>
      </w:pPr>
      <w:r>
        <w:t>E2. Sobrecarga en el plano de datos (RQ2)</w:t>
      </w:r>
    </w:p>
    <w:p>
      <w:pPr>
        <w:jc w:val="both"/>
      </w:pPr>
      <w:r>
        <w:rPr>
          <w:i w:val="0"/>
        </w:rPr>
        <w:t xml:space="preserve">Se mide el tráfico permitido entre dos hosts en cuatro configuraciones: la aplicación </w:t>
      </w:r>
      <w:r>
        <w:rPr>
          <w:rFonts w:ascii="Courier New" w:hAnsi="Courier New"/>
          <w:i w:val="0"/>
          <w:sz w:val="20"/>
        </w:rPr>
        <w:t>ryu.app.simple_switch_13</w:t>
      </w:r>
      <w:r>
        <w:rPr>
          <w:i w:val="0"/>
        </w:rPr>
        <w:t xml:space="preserve"> como referencia, el firewall con la política vacía, el firewall con 100 reglas DROP sobre direcciones ajenas y el firewall con la copia de paquetes al controlador activada. </w:t>
      </w:r>
      <w:r>
        <w:rPr>
          <w:rFonts w:ascii="Courier New" w:hAnsi="Courier New"/>
          <w:i w:val="0"/>
          <w:sz w:val="20"/>
        </w:rPr>
        <w:t>simple_switch_13</w:t>
      </w:r>
      <w:r>
        <w:rPr>
          <w:i w:val="0"/>
        </w:rPr>
        <w:t xml:space="preserve"> aprende direcciones MAC e instala flujos unicast, mientras que el firewall reenvía con FLOOD; por eso la comparación que aísla el costo de las reglas es la de firewall vacío frente a firewall con reglas. En cada repetición se envían 100 pings, una prueba TCP de 5 s y otra UDP a 10 Mbit/s con iperf3.</w:t>
      </w:r>
    </w:p>
    <w:p>
      <w:pPr>
        <w:pStyle w:val="Heading2"/>
      </w:pPr>
      <w:r>
        <w:t>E3. Escalabilidad de la gestión (RQ3)</w:t>
      </w:r>
    </w:p>
    <w:p>
      <w:pPr>
        <w:jc w:val="both"/>
      </w:pPr>
      <w:r>
        <w:rPr>
          <w:i w:val="0"/>
        </w:rPr>
        <w:t xml:space="preserve">Para cada combinación de hosts y reglas, el script precarga k reglas sobre direcciones 10.1.x.y, que no corresponden a ningún host, y luego mide repetidamente el bloqueo y desbloqueo de un host real. También registra el tiempo de </w:t>
      </w:r>
      <w:r>
        <w:rPr>
          <w:rFonts w:ascii="Courier New" w:hAnsi="Courier New"/>
          <w:i w:val="0"/>
          <w:sz w:val="20"/>
        </w:rPr>
        <w:t>GET /fw/rules</w:t>
      </w:r>
      <w:r>
        <w:rPr>
          <w:i w:val="0"/>
        </w:rPr>
        <w:t>, el tamaño de la tabla de flujos y el uso de CPU y memoria del proceso Ryu.</w:t>
      </w:r>
    </w:p>
    <w:p>
      <w:pPr>
        <w:pStyle w:val="Heading2"/>
      </w:pPr>
      <w:r>
        <w:t>E4. Seguridad y coste de la interfaz de gestión (RQ4)</w:t>
      </w:r>
    </w:p>
    <w:p>
      <w:pPr>
        <w:jc w:val="both"/>
      </w:pPr>
      <w:r>
        <w:rPr>
          <w:i w:val="0"/>
        </w:rPr>
        <w:t xml:space="preserve">Cada endpoint protegido recibe peticiones con credencial válida, inválida y sin credencial. El resultado esperado es 401 en los dos últimos casos; cualquier otra respuesta se reporta como fallo de control de acceso. Para estimar el coste de la autenticación se mide la latencia de 1 000 peticiones </w:t>
      </w:r>
      <w:r>
        <w:rPr>
          <w:rFonts w:ascii="Courier New" w:hAnsi="Courier New"/>
          <w:i w:val="0"/>
          <w:sz w:val="20"/>
        </w:rPr>
        <w:t>GET /fw/rules</w:t>
      </w:r>
      <w:r>
        <w:rPr>
          <w:i w:val="0"/>
        </w:rPr>
        <w:t xml:space="preserve"> con autenticación y otras 1 000 contra una variante del firewall que tenga la autenticación desactivada, idéntica en todo lo demás.</w:t>
      </w:r>
    </w:p>
    <w:p>
      <w:pPr>
        <w:jc w:val="both"/>
      </w:pPr>
      <w:r>
        <w:rPr>
          <w:i w:val="0"/>
        </w:rPr>
        <w:t>HTTP Basic sobre HTTP plano transmite la credencial codificada en Base64, no cifrada. El artículo debe decirlo. Si se habilita HTTPS en la reimplementación, conviene medir también ese caso, porque es la configuración que un revisor considerará realista.</w:t>
      </w:r>
    </w:p>
    <w:p>
      <w:pPr>
        <w:pStyle w:val="Heading2"/>
      </w:pPr>
      <w:r>
        <w:t>E5. Detección y mitigación automática (RQ5)</w:t>
      </w:r>
    </w:p>
    <w:p>
      <w:pPr>
        <w:jc w:val="both"/>
      </w:pPr>
      <w:r>
        <w:rPr>
          <w:i w:val="0"/>
        </w:rPr>
        <w:t xml:space="preserve">Con una regla por defecto que solo hace FLOOD, los paquetes nunca llegan al controlador y </w:t>
      </w:r>
      <w:r>
        <w:rPr>
          <w:rFonts w:ascii="Courier New" w:hAnsi="Courier New"/>
          <w:i w:val="0"/>
          <w:sz w:val="20"/>
        </w:rPr>
        <w:t>TrafficTracker</w:t>
      </w:r>
      <w:r>
        <w:rPr>
          <w:i w:val="0"/>
        </w:rPr>
        <w:t xml:space="preserve"> no puede contarlos. La reimplementación resuelve esto añadiendo a la regla por defecto una segunda acción que envía al controlador una copia truncada a 128 bytes (</w:t>
      </w:r>
      <w:r>
        <w:rPr>
          <w:rFonts w:ascii="Courier New" w:hAnsi="Courier New"/>
          <w:i w:val="0"/>
          <w:sz w:val="20"/>
        </w:rPr>
        <w:t>FW_MIRROR=1</w:t>
      </w:r>
      <w:r>
        <w:rPr>
          <w:i w:val="0"/>
        </w:rPr>
        <w:t>). El reenvío sigue en el plano de datos y el detector recibe un PacketIn por paquete permitido. Es una decisión de implementación y el artículo la declara.</w:t>
      </w:r>
    </w:p>
    <w:p>
      <w:pPr>
        <w:jc w:val="both"/>
      </w:pPr>
      <w:r>
        <w:rPr>
          <w:i w:val="0"/>
        </w:rPr>
        <w:t>Hay dos escenarios benignos de 15 s: un cliente que hace ping a 1 paquete/s y un cliente que transfiere datos con iperf3 durante 5 s. Ambos estiman la tasa de falsos positivos. En los escenarios de ataque, el último host lanza una inundación ICMP con hping3 o un escaneo SYN con nmap a 10, 100 y 500 paquetes/s, mientras se mantiene el ping legítimo de fondo. Se registra si el atacante queda bloqueado, cuánto tarda y si alguna IP legítima resultó bloqueada. Los umbrales de la versión original (30 paquetes en 10 s para DoS y 8 puertos en 15 s para escaneo) se dejan fijos en la campaña principal; un análisis de sensibilidad con otros umbrales sería un añadido valioso, no obligatorio.</w:t>
      </w:r>
    </w:p>
    <w:p>
      <w:pPr>
        <w:pStyle w:val="Heading2"/>
      </w:pPr>
      <w:r>
        <w:t>E6. Persistencia y consistencia (RQ6)</w:t>
      </w:r>
    </w:p>
    <w:p>
      <w:pPr>
        <w:jc w:val="both"/>
      </w:pPr>
      <w:r>
        <w:rPr>
          <w:i w:val="0"/>
        </w:rPr>
        <w:t>Con k reglas activas, el script detiene Ryu y comprueba si el switch conserva las reglas mientras el controlador está caído. Después vacía la tabla de flujos para simular la pérdida de estado del switch, relanza Ryu y mide cuánto tarda en reinstalar todas las reglas guardadas en el JSON. Al final de cada repetición compara la lista de la API con las reglas DROP presentes en la tabla; cualquier diferencia se cuenta como inconsistencia.</w:t>
      </w:r>
    </w:p>
    <w:p>
      <w:pPr>
        <w:pStyle w:val="Heading1"/>
      </w:pPr>
      <w:r>
        <w:t>6. Análisis estadístico</w:t>
      </w:r>
    </w:p>
    <w:p>
      <w:pPr>
        <w:jc w:val="both"/>
      </w:pPr>
      <w:r>
        <w:rPr>
          <w:i w:val="0"/>
        </w:rPr>
        <w:t xml:space="preserve">Las latencias rara vez siguen una distribución normal, así que el análisis principal usa mediana, percentil 95 e intervalos de confianza del 95 % para la media obtenidos por bootstrap (5 000 remuestreos). Las comparaciones entre dos condiciones (línea base frente a firewall, con y sin autenticación) usan la prueba U de Mann-Whitney con el tamaño del efecto rango-biserial; las de más de dos niveles (número de reglas), Kruskal-Wallis. Cuando haya varias comparaciones sobre la misma métrica se aplica la corrección de Holm. Todo esto lo produce </w:t>
      </w:r>
      <w:r>
        <w:rPr>
          <w:rFonts w:ascii="Courier New" w:hAnsi="Courier New"/>
          <w:i w:val="0"/>
          <w:sz w:val="20"/>
        </w:rPr>
        <w:t>analyze.py</w:t>
      </w:r>
      <w:r>
        <w:rPr>
          <w:i w:val="0"/>
        </w:rPr>
        <w:t>, que además genera las figuras a 300 dpi.</w:t>
      </w:r>
    </w:p>
    <w:p>
      <w:pPr>
        <w:pStyle w:val="Heading1"/>
      </w:pPr>
      <w:r>
        <w:t>7. Amenazas a la validez</w:t>
      </w:r>
    </w:p>
    <w:p>
      <w:pPr>
        <w:pStyle w:val="ListBullet"/>
        <w:spacing w:after="60"/>
        <w:jc w:val="both"/>
      </w:pPr>
      <w:r>
        <w:rPr>
          <w:b/>
          <w:i w:val="0"/>
        </w:rPr>
        <w:t>Emulación.</w:t>
      </w:r>
      <w:r>
        <w:rPr>
          <w:i w:val="0"/>
        </w:rPr>
        <w:t xml:space="preserve"> Mininet comparte la CPU del anfitrión y conmuta por software; las cifras absolutas no se trasladan a hardware. Se informa como limitación, citando a Lantz et al. (2010).</w:t>
      </w:r>
    </w:p>
    <w:p>
      <w:pPr>
        <w:pStyle w:val="ListBullet"/>
        <w:spacing w:after="60"/>
        <w:jc w:val="both"/>
      </w:pPr>
      <w:r>
        <w:rPr>
          <w:b/>
          <w:i w:val="0"/>
        </w:rPr>
        <w:t>Resolución de medida.</w:t>
      </w:r>
      <w:r>
        <w:rPr>
          <w:i w:val="0"/>
        </w:rPr>
        <w:t xml:space="preserve"> t_dp depende del intervalo del ping y t_flow del costo de cada consulta a </w:t>
      </w:r>
      <w:r>
        <w:rPr>
          <w:rFonts w:ascii="Courier New" w:hAnsi="Courier New"/>
          <w:i w:val="0"/>
          <w:sz w:val="20"/>
        </w:rPr>
        <w:t>ovs-ofctl</w:t>
      </w:r>
      <w:r>
        <w:rPr>
          <w:i w:val="0"/>
        </w:rPr>
        <w:t>.</w:t>
      </w:r>
    </w:p>
    <w:p>
      <w:pPr>
        <w:pStyle w:val="ListBullet"/>
        <w:spacing w:after="60"/>
        <w:jc w:val="both"/>
      </w:pPr>
      <w:r>
        <w:rPr>
          <w:b/>
          <w:i w:val="0"/>
        </w:rPr>
        <w:t>Interferencia.</w:t>
      </w:r>
      <w:r>
        <w:rPr>
          <w:i w:val="0"/>
        </w:rPr>
        <w:t xml:space="preserve"> Otras cargas en el anfitrión alteran las latencias. Conviene cerrar aplicaciones, desactivar actualizaciones y alternar el orden de las condiciones.</w:t>
      </w:r>
    </w:p>
    <w:p>
      <w:pPr>
        <w:pStyle w:val="ListBullet"/>
        <w:spacing w:after="60"/>
        <w:jc w:val="both"/>
      </w:pPr>
      <w:r>
        <w:rPr>
          <w:b/>
          <w:i w:val="0"/>
        </w:rPr>
        <w:t>Reimplementación.</w:t>
      </w:r>
      <w:r>
        <w:rPr>
          <w:i w:val="0"/>
        </w:rPr>
        <w:t xml:space="preserve"> El código original no se conserva; el artículo debe declarar que el sistema evaluado es una reimplementación fiel al diseño de la tesis y publicar ese código.</w:t>
      </w:r>
    </w:p>
    <w:p>
      <w:pPr>
        <w:pStyle w:val="ListBullet"/>
        <w:spacing w:after="60"/>
        <w:jc w:val="both"/>
      </w:pPr>
      <w:r>
        <w:rPr>
          <w:b/>
          <w:i w:val="0"/>
        </w:rPr>
        <w:t>Validez externa del ataque.</w:t>
      </w:r>
      <w:r>
        <w:rPr>
          <w:i w:val="0"/>
        </w:rPr>
        <w:t xml:space="preserve"> hping3 y nmap a tasas controladas no representan todo el espectro de ataques reales.</w:t>
      </w:r>
    </w:p>
    <w:p>
      <w:pPr>
        <w:pStyle w:val="Heading1"/>
      </w:pPr>
      <w:r>
        <w:t>8. Registro y reproducibilidad</w:t>
      </w:r>
    </w:p>
    <w:p>
      <w:pPr>
        <w:jc w:val="both"/>
      </w:pPr>
      <w:r>
        <w:rPr>
          <w:i w:val="0"/>
        </w:rPr>
        <w:t xml:space="preserve">Cada script escribe un CSV con marca de tiempo en </w:t>
      </w:r>
      <w:r>
        <w:rPr>
          <w:rFonts w:ascii="Courier New" w:hAnsi="Courier New"/>
          <w:i w:val="0"/>
          <w:sz w:val="20"/>
        </w:rPr>
        <w:t>results/</w:t>
      </w:r>
      <w:r>
        <w:rPr>
          <w:i w:val="0"/>
        </w:rPr>
        <w:t xml:space="preserve"> y no sobrescribe corridas anteriores. Para la declaración de disponibilidad de código y datos que exige JNSM, se recomienda subir el código de la reimplementación, estos scripts y los CSV a un repositorio público (GitHub) y archivar una versión con DOI en Zenodo. Las corridas de prueba no deben mezclarse con las definitivas: basta con vaciar </w:t>
      </w:r>
      <w:r>
        <w:rPr>
          <w:rFonts w:ascii="Courier New" w:hAnsi="Courier New"/>
          <w:i w:val="0"/>
          <w:sz w:val="20"/>
        </w:rPr>
        <w:t>results/</w:t>
      </w:r>
      <w:r>
        <w:rPr>
          <w:i w:val="0"/>
        </w:rPr>
        <w:t xml:space="preserve"> antes de la campaña real.</w:t>
      </w:r>
    </w:p>
    <w:p>
      <w:pPr>
        <w:pStyle w:val="Heading1"/>
      </w:pPr>
      <w:r>
        <w:t>9. Correspondencia con el manuscrito</w:t>
      </w:r>
    </w:p>
    <w:p>
      <w:pPr>
        <w:keepNext/>
        <w:spacing w:line="240" w:lineRule="auto"/>
      </w:pPr>
      <w:r>
        <w:rPr>
          <w:b/>
          <w:sz w:val="20"/>
        </w:rPr>
        <w:t xml:space="preserve">Table 5 </w:t>
      </w:r>
      <w:r>
        <w:rPr>
          <w:i w:val="0"/>
          <w:sz w:val="20"/>
        </w:rPr>
        <w:t>Dónde va cada resultado en el manuscrito</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val="clear" w:fill="E7E6E6"/>
          </w:tcPr>
          <w:p>
            <w:pPr>
              <w:spacing w:line="240" w:lineRule="auto"/>
            </w:pPr>
            <w:r>
              <w:rPr>
                <w:b/>
                <w:i w:val="0"/>
                <w:sz w:val="18"/>
              </w:rPr>
              <w:t>Experimento</w:t>
            </w:r>
          </w:p>
        </w:tc>
        <w:tc>
          <w:tcPr>
            <w:tcW w:type="dxa" w:w="3969"/>
            <w:shd w:val="clear" w:fill="E7E6E6"/>
          </w:tcPr>
          <w:p>
            <w:pPr>
              <w:spacing w:line="240" w:lineRule="auto"/>
            </w:pPr>
            <w:r>
              <w:rPr>
                <w:b/>
                <w:i w:val="0"/>
                <w:sz w:val="18"/>
              </w:rPr>
              <w:t>Salida de analyze.py</w:t>
            </w:r>
          </w:p>
        </w:tc>
        <w:tc>
          <w:tcPr>
            <w:tcW w:type="dxa" w:w="3118"/>
            <w:shd w:val="clear" w:fill="E7E6E6"/>
          </w:tcPr>
          <w:p>
            <w:pPr>
              <w:spacing w:line="240" w:lineRule="auto"/>
            </w:pPr>
            <w:r>
              <w:rPr>
                <w:b/>
                <w:i w:val="0"/>
                <w:sz w:val="18"/>
              </w:rPr>
              <w:t>Ubicación en el manuscrito</w:t>
            </w:r>
          </w:p>
        </w:tc>
      </w:tr>
      <w:tr>
        <w:tc>
          <w:tcPr>
            <w:tcW w:type="dxa" w:w="1417"/>
          </w:tcPr>
          <w:p>
            <w:pPr>
              <w:spacing w:line="240" w:lineRule="auto" w:after="0"/>
            </w:pPr>
            <w:r>
              <w:rPr>
                <w:i w:val="0"/>
                <w:sz w:val="18"/>
              </w:rPr>
              <w:t>Entorno</w:t>
            </w:r>
          </w:p>
        </w:tc>
        <w:tc>
          <w:tcPr>
            <w:tcW w:type="dxa" w:w="3969"/>
          </w:tcPr>
          <w:p>
            <w:pPr>
              <w:spacing w:line="240" w:lineRule="auto" w:after="0"/>
            </w:pPr>
            <w:r>
              <w:rPr>
                <w:i w:val="0"/>
                <w:sz w:val="18"/>
              </w:rPr>
              <w:t>environment.json</w:t>
            </w:r>
          </w:p>
        </w:tc>
        <w:tc>
          <w:tcPr>
            <w:tcW w:type="dxa" w:w="3118"/>
          </w:tcPr>
          <w:p>
            <w:pPr>
              <w:spacing w:line="240" w:lineRule="auto" w:after="0"/>
            </w:pPr>
            <w:r>
              <w:rPr>
                <w:i w:val="0"/>
                <w:sz w:val="18"/>
              </w:rPr>
              <w:t>Tabla 2 (sección 4.1)</w:t>
            </w:r>
          </w:p>
        </w:tc>
      </w:tr>
      <w:tr>
        <w:tc>
          <w:tcPr>
            <w:tcW w:type="dxa" w:w="1417"/>
          </w:tcPr>
          <w:p>
            <w:pPr>
              <w:spacing w:line="240" w:lineRule="auto" w:after="0"/>
            </w:pPr>
            <w:r>
              <w:rPr>
                <w:i w:val="0"/>
                <w:sz w:val="18"/>
              </w:rPr>
              <w:t>Suite funcional</w:t>
            </w:r>
          </w:p>
        </w:tc>
        <w:tc>
          <w:tcPr>
            <w:tcW w:type="dxa" w:w="3969"/>
          </w:tcPr>
          <w:p>
            <w:pPr>
              <w:spacing w:line="240" w:lineRule="auto" w:after="0"/>
            </w:pPr>
            <w:r>
              <w:rPr>
                <w:i w:val="0"/>
                <w:sz w:val="18"/>
              </w:rPr>
              <w:t>logs/run_tests.txt</w:t>
            </w:r>
          </w:p>
        </w:tc>
        <w:tc>
          <w:tcPr>
            <w:tcW w:type="dxa" w:w="3118"/>
          </w:tcPr>
          <w:p>
            <w:pPr>
              <w:spacing w:line="240" w:lineRule="auto" w:after="0"/>
            </w:pPr>
            <w:r>
              <w:rPr>
                <w:i w:val="0"/>
                <w:sz w:val="18"/>
              </w:rPr>
              <w:t>Tabla 5 (sección 5.1)</w:t>
            </w:r>
          </w:p>
        </w:tc>
      </w:tr>
      <w:tr>
        <w:tc>
          <w:tcPr>
            <w:tcW w:type="dxa" w:w="1417"/>
          </w:tcPr>
          <w:p>
            <w:pPr>
              <w:spacing w:line="240" w:lineRule="auto" w:after="0"/>
            </w:pPr>
            <w:r>
              <w:rPr>
                <w:i w:val="0"/>
                <w:sz w:val="18"/>
              </w:rPr>
              <w:t>E1</w:t>
            </w:r>
          </w:p>
        </w:tc>
        <w:tc>
          <w:tcPr>
            <w:tcW w:type="dxa" w:w="3969"/>
          </w:tcPr>
          <w:p>
            <w:pPr>
              <w:spacing w:line="240" w:lineRule="auto" w:after="0"/>
            </w:pPr>
            <w:r>
              <w:rPr>
                <w:i w:val="0"/>
                <w:sz w:val="18"/>
              </w:rPr>
              <w:t>summary_e1.csv, paper_fig_e1.png</w:t>
            </w:r>
          </w:p>
        </w:tc>
        <w:tc>
          <w:tcPr>
            <w:tcW w:type="dxa" w:w="3118"/>
          </w:tcPr>
          <w:p>
            <w:pPr>
              <w:spacing w:line="240" w:lineRule="auto" w:after="0"/>
            </w:pPr>
            <w:r>
              <w:rPr>
                <w:i w:val="0"/>
                <w:sz w:val="18"/>
              </w:rPr>
              <w:t>Tabla 6 y Fig. 6 (sección 5.2)</w:t>
            </w:r>
          </w:p>
        </w:tc>
      </w:tr>
      <w:tr>
        <w:tc>
          <w:tcPr>
            <w:tcW w:type="dxa" w:w="1417"/>
          </w:tcPr>
          <w:p>
            <w:pPr>
              <w:spacing w:line="240" w:lineRule="auto" w:after="0"/>
            </w:pPr>
            <w:r>
              <w:rPr>
                <w:i w:val="0"/>
                <w:sz w:val="18"/>
              </w:rPr>
              <w:t>E2</w:t>
            </w:r>
          </w:p>
        </w:tc>
        <w:tc>
          <w:tcPr>
            <w:tcW w:type="dxa" w:w="3969"/>
          </w:tcPr>
          <w:p>
            <w:pPr>
              <w:spacing w:line="240" w:lineRule="auto" w:after="0"/>
            </w:pPr>
            <w:r>
              <w:rPr>
                <w:i w:val="0"/>
                <w:sz w:val="18"/>
              </w:rPr>
              <w:t>summary_e2.csv, tests.txt, paper_fig_e2.png</w:t>
            </w:r>
          </w:p>
        </w:tc>
        <w:tc>
          <w:tcPr>
            <w:tcW w:type="dxa" w:w="3118"/>
          </w:tcPr>
          <w:p>
            <w:pPr>
              <w:spacing w:line="240" w:lineRule="auto" w:after="0"/>
            </w:pPr>
            <w:r>
              <w:rPr>
                <w:i w:val="0"/>
                <w:sz w:val="18"/>
              </w:rPr>
              <w:t>Tabla 7 y Fig. 7 (sección 5.3)</w:t>
            </w:r>
          </w:p>
        </w:tc>
      </w:tr>
      <w:tr>
        <w:tc>
          <w:tcPr>
            <w:tcW w:type="dxa" w:w="1417"/>
          </w:tcPr>
          <w:p>
            <w:pPr>
              <w:spacing w:line="240" w:lineRule="auto" w:after="0"/>
            </w:pPr>
            <w:r>
              <w:rPr>
                <w:i w:val="0"/>
                <w:sz w:val="18"/>
              </w:rPr>
              <w:t>E3 y E3b</w:t>
            </w:r>
          </w:p>
        </w:tc>
        <w:tc>
          <w:tcPr>
            <w:tcW w:type="dxa" w:w="3969"/>
          </w:tcPr>
          <w:p>
            <w:pPr>
              <w:spacing w:line="240" w:lineRule="auto" w:after="0"/>
            </w:pPr>
            <w:r>
              <w:rPr>
                <w:i w:val="0"/>
                <w:sz w:val="18"/>
              </w:rPr>
              <w:t>summary_e3.csv, summary_e3b.csv, paper_fig_e3.png</w:t>
            </w:r>
          </w:p>
        </w:tc>
        <w:tc>
          <w:tcPr>
            <w:tcW w:type="dxa" w:w="3118"/>
          </w:tcPr>
          <w:p>
            <w:pPr>
              <w:spacing w:line="240" w:lineRule="auto" w:after="0"/>
            </w:pPr>
            <w:r>
              <w:rPr>
                <w:i w:val="0"/>
                <w:sz w:val="18"/>
              </w:rPr>
              <w:t>Fig. 8 (sección 5.4)</w:t>
            </w:r>
          </w:p>
        </w:tc>
      </w:tr>
      <w:tr>
        <w:tc>
          <w:tcPr>
            <w:tcW w:type="dxa" w:w="1417"/>
          </w:tcPr>
          <w:p>
            <w:pPr>
              <w:spacing w:line="240" w:lineRule="auto" w:after="0"/>
            </w:pPr>
            <w:r>
              <w:rPr>
                <w:i w:val="0"/>
                <w:sz w:val="18"/>
              </w:rPr>
              <w:t>E4</w:t>
            </w:r>
          </w:p>
        </w:tc>
        <w:tc>
          <w:tcPr>
            <w:tcW w:type="dxa" w:w="3969"/>
          </w:tcPr>
          <w:p>
            <w:pPr>
              <w:spacing w:line="240" w:lineRule="auto" w:after="0"/>
            </w:pPr>
            <w:r>
              <w:rPr>
                <w:i w:val="0"/>
                <w:sz w:val="18"/>
              </w:rPr>
              <w:t>summary_e4_access.csv, summary_e4_overhead.csv</w:t>
            </w:r>
          </w:p>
        </w:tc>
        <w:tc>
          <w:tcPr>
            <w:tcW w:type="dxa" w:w="3118"/>
          </w:tcPr>
          <w:p>
            <w:pPr>
              <w:spacing w:line="240" w:lineRule="auto" w:after="0"/>
            </w:pPr>
            <w:r>
              <w:rPr>
                <w:i w:val="0"/>
                <w:sz w:val="18"/>
              </w:rPr>
              <w:t>Tabla 8 (sección 5.5)</w:t>
            </w:r>
          </w:p>
        </w:tc>
      </w:tr>
      <w:tr>
        <w:tc>
          <w:tcPr>
            <w:tcW w:type="dxa" w:w="1417"/>
          </w:tcPr>
          <w:p>
            <w:pPr>
              <w:spacing w:line="240" w:lineRule="auto" w:after="0"/>
            </w:pPr>
            <w:r>
              <w:rPr>
                <w:i w:val="0"/>
                <w:sz w:val="18"/>
              </w:rPr>
              <w:t>E5</w:t>
            </w:r>
          </w:p>
        </w:tc>
        <w:tc>
          <w:tcPr>
            <w:tcW w:type="dxa" w:w="3969"/>
          </w:tcPr>
          <w:p>
            <w:pPr>
              <w:spacing w:line="240" w:lineRule="auto" w:after="0"/>
            </w:pPr>
            <w:r>
              <w:rPr>
                <w:i w:val="0"/>
                <w:sz w:val="18"/>
              </w:rPr>
              <w:t>summary_e5.csv</w:t>
            </w:r>
          </w:p>
        </w:tc>
        <w:tc>
          <w:tcPr>
            <w:tcW w:type="dxa" w:w="3118"/>
          </w:tcPr>
          <w:p>
            <w:pPr>
              <w:spacing w:line="240" w:lineRule="auto" w:after="0"/>
            </w:pPr>
            <w:r>
              <w:rPr>
                <w:i w:val="0"/>
                <w:sz w:val="18"/>
              </w:rPr>
              <w:t>Tabla 9 (sección 5.6)</w:t>
            </w:r>
          </w:p>
        </w:tc>
      </w:tr>
      <w:tr>
        <w:tc>
          <w:tcPr>
            <w:tcW w:type="dxa" w:w="1417"/>
          </w:tcPr>
          <w:p>
            <w:pPr>
              <w:spacing w:line="240" w:lineRule="auto" w:after="0"/>
            </w:pPr>
            <w:r>
              <w:rPr>
                <w:i w:val="0"/>
                <w:sz w:val="18"/>
              </w:rPr>
              <w:t>E6</w:t>
            </w:r>
          </w:p>
        </w:tc>
        <w:tc>
          <w:tcPr>
            <w:tcW w:type="dxa" w:w="3969"/>
          </w:tcPr>
          <w:p>
            <w:pPr>
              <w:spacing w:line="240" w:lineRule="auto" w:after="0"/>
            </w:pPr>
            <w:r>
              <w:rPr>
                <w:i w:val="0"/>
                <w:sz w:val="18"/>
              </w:rPr>
              <w:t>summary_e6.csv</w:t>
            </w:r>
          </w:p>
        </w:tc>
        <w:tc>
          <w:tcPr>
            <w:tcW w:type="dxa" w:w="3118"/>
          </w:tcPr>
          <w:p>
            <w:pPr>
              <w:spacing w:line="240" w:lineRule="auto" w:after="0"/>
            </w:pPr>
            <w:r>
              <w:rPr>
                <w:i w:val="0"/>
                <w:sz w:val="18"/>
              </w:rPr>
              <w:t>Texto de la sección 5.7</w:t>
            </w:r>
          </w:p>
        </w:tc>
      </w:tr>
    </w:tbl>
    <w:p>
      <w:pPr>
        <w:spacing w:after="80"/>
      </w:pPr>
    </w:p>
    <w:p>
      <w:pPr>
        <w:pStyle w:val="Heading1"/>
      </w:pPr>
      <w:r>
        <w:t>10. Lista de verificación antes de la campaña</w:t>
      </w:r>
    </w:p>
    <w:p>
      <w:pPr>
        <w:pStyle w:val="ListBullet"/>
        <w:spacing w:after="60"/>
        <w:jc w:val="both"/>
      </w:pPr>
      <w:r>
        <w:rPr>
          <w:i w:val="0"/>
        </w:rPr>
        <w:t>Reimplementación terminada (</w:t>
      </w:r>
      <w:r>
        <w:rPr>
          <w:rFonts w:ascii="Courier New" w:hAnsi="Courier New"/>
          <w:i w:val="0"/>
          <w:sz w:val="20"/>
        </w:rPr>
        <w:t>firewall/firewall_seguro.py</w:t>
      </w:r>
      <w:r>
        <w:rPr>
          <w:i w:val="0"/>
        </w:rPr>
        <w:t>) y suite funcional en 12/12.</w:t>
      </w:r>
    </w:p>
    <w:p>
      <w:pPr>
        <w:pStyle w:val="ListBullet"/>
        <w:spacing w:after="60"/>
        <w:jc w:val="both"/>
      </w:pPr>
      <w:r>
        <w:rPr>
          <w:i w:val="0"/>
        </w:rPr>
        <w:t>Variante sin autenticación preparada para E4.</w:t>
      </w:r>
    </w:p>
    <w:p>
      <w:pPr>
        <w:pStyle w:val="ListBullet"/>
        <w:spacing w:after="60"/>
        <w:jc w:val="both"/>
      </w:pPr>
      <w:r>
        <w:rPr>
          <w:i w:val="0"/>
        </w:rPr>
        <w:t>Copia al controlador activada solo en E2 (escenario mirror) y E5.</w:t>
      </w:r>
    </w:p>
    <w:p>
      <w:pPr>
        <w:pStyle w:val="ListBullet"/>
        <w:spacing w:after="60"/>
        <w:jc w:val="both"/>
      </w:pPr>
      <w:r>
        <w:rPr>
          <w:i w:val="0"/>
        </w:rPr>
        <w:t>Corrida corta de prueba (</w:t>
      </w:r>
      <w:r>
        <w:rPr>
          <w:rFonts w:ascii="Courier New" w:hAnsi="Courier New"/>
          <w:i w:val="0"/>
          <w:sz w:val="20"/>
        </w:rPr>
        <w:t>--reps 3</w:t>
      </w:r>
      <w:r>
        <w:rPr>
          <w:i w:val="0"/>
        </w:rPr>
        <w:t>) sin errores en los seis experimentos.</w:t>
      </w:r>
    </w:p>
    <w:p>
      <w:pPr>
        <w:pStyle w:val="ListBullet"/>
        <w:spacing w:after="60"/>
        <w:jc w:val="both"/>
      </w:pPr>
      <w:r>
        <w:rPr>
          <w:i w:val="0"/>
        </w:rPr>
        <w:t xml:space="preserve">Carpeta </w:t>
      </w:r>
      <w:r>
        <w:rPr>
          <w:rFonts w:ascii="Courier New" w:hAnsi="Courier New"/>
          <w:i w:val="0"/>
          <w:sz w:val="20"/>
        </w:rPr>
        <w:t>results/</w:t>
      </w:r>
      <w:r>
        <w:rPr>
          <w:i w:val="0"/>
        </w:rPr>
        <w:t xml:space="preserve"> vacía antes de la campaña definitiva.</w:t>
      </w:r>
    </w:p>
    <w:p>
      <w:pPr>
        <w:pStyle w:val="ListBullet"/>
        <w:spacing w:after="60"/>
        <w:jc w:val="both"/>
      </w:pPr>
      <w:r>
        <w:rPr>
          <w:i w:val="0"/>
        </w:rPr>
        <w:t>Credenciales definidas solo como variables de entorno.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imes New Roman" w:hAnsi="Times New Roman" w:eastAsia="Times New Roman" w:cs="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