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Calibri" w:hAnsi="Calibri"/>
          <w:b/>
          <w:color w:val="1A202C"/>
          <w:sz w:val="22"/>
        </w:rPr>
        <w:t>ESCUELA COLOMBIANA DE INGENIERÍA JULIO GARAVITO</w:t>
      </w:r>
    </w:p>
    <w:p>
      <w:pPr>
        <w:spacing w:after="280"/>
        <w:jc w:val="center"/>
      </w:pPr>
      <w:r>
        <w:rPr>
          <w:rFonts w:ascii="Calibri" w:hAnsi="Calibri"/>
          <w:i/>
          <w:color w:val="4A5568"/>
          <w:sz w:val="21"/>
        </w:rPr>
        <w:t>Desarrollo Orientado por Objetos (DOPO) | Período 2026-2</w:t>
        <w:br/>
        <w:t>Laboratorio 3: Herencias e Implementaciones</w:t>
      </w:r>
    </w:p>
    <w:p>
      <w:pPr>
        <w:spacing w:before="80" w:after="80"/>
        <w:jc w:val="center"/>
      </w:pPr>
      <w:r>
        <w:rPr>
          <w:rFonts w:ascii="Calibri" w:hAnsi="Calibri"/>
          <w:b/>
          <w:color w:val="000000"/>
          <w:sz w:val="36"/>
        </w:rPr>
        <w:t>INFORME DE RETROSPECTIVA</w:t>
      </w:r>
    </w:p>
    <w:p>
      <w:pPr>
        <w:spacing w:after="280"/>
        <w:jc w:val="center"/>
      </w:pPr>
      <w:r>
        <w:rPr>
          <w:rFonts w:ascii="Calibri" w:hAnsi="Calibri"/>
          <w:b/>
          <w:color w:val="000000"/>
          <w:sz w:val="26"/>
        </w:rPr>
        <w:t>Simulador EcoSafari: Modelo Depredador-Presa-Recurso y Prácticas XP</w:t>
      </w:r>
    </w:p>
    <w:tbl>
      <w:tblPr>
        <w:tblW w:type="auto" w:w="0"/>
        <w:jc w:val="center"/>
        <w:tblLook w:firstColumn="1" w:firstRow="1" w:lastColumn="0" w:lastRow="0" w:noHBand="0" w:noVBand="1" w:val="04A0"/>
      </w:tblPr>
      <w:tblGrid>
        <w:gridCol w:w="9360"/>
      </w:tblGrid>
      <w:tr>
        <w:tc>
          <w:tcPr>
            <w:tcW w:type="dxa" w:w="9360"/>
            <w:shd w:fill="F7FAFC"/>
            <w:tcMar>
              <w:top w:w="140" w:type="dxa"/>
              <w:bottom w:w="140" w:type="dxa"/>
              <w:left w:w="180" w:type="dxa"/>
              <w:right w:w="180" w:type="dxa"/>
            </w:tcMar>
          </w:tcPr>
          <w:p>
            <w:pPr>
              <w:spacing w:after="0" w:line="276" w:lineRule="auto"/>
            </w:pPr>
            <w:r>
              <w:rPr>
                <w:b/>
                <w:color w:val="1A202C"/>
                <w:sz w:val="20"/>
              </w:rPr>
              <w:t>Integrantes del Equipo:</w:t>
              <w:br/>
            </w:r>
            <w:r>
              <w:rPr>
                <w:color w:val="2D3748"/>
                <w:sz w:val="20"/>
              </w:rPr>
              <w:t>• Juan David Espitia</w:t>
              <w:br/>
              <w:t>• Cristian Salamanca</w:t>
              <w:br/>
            </w:r>
            <w:r>
              <w:rPr>
                <w:i/>
                <w:color w:val="4A5568"/>
                <w:sz w:val="19"/>
              </w:rPr>
              <w:t>Fecha de Entrega: Septiembre de 2026</w:t>
            </w:r>
          </w:p>
        </w:tc>
      </w:tr>
    </w:tbl>
    <w:p>
      <w:pPr>
        <w:keepNext/>
        <w:spacing w:before="320" w:after="120"/>
      </w:pPr>
      <w:r>
        <w:rPr>
          <w:rFonts w:ascii="Calibri" w:hAnsi="Calibri"/>
          <w:b/>
          <w:color w:val="000000"/>
          <w:sz w:val="25"/>
        </w:rPr>
        <w:t xml:space="preserve">1. </w:t>
      </w:r>
      <w:r>
        <w:rPr>
          <w:rFonts w:ascii="Calibri" w:hAnsi="Calibri"/>
          <w:b/>
          <w:color w:val="000000"/>
          <w:sz w:val="25"/>
        </w:rPr>
        <w:t>Tiempo total invertido en el laboratorio por cada integrante</w:t>
      </w:r>
    </w:p>
    <w:p>
      <w:pPr>
        <w:spacing w:after="120" w:line="276" w:lineRule="auto"/>
        <w:jc w:val="both"/>
      </w:pPr>
      <w:r>
        <w:rPr>
          <w:color w:val="2D3748"/>
        </w:rPr>
        <w:t>El laboratorio demandó un total acumulado de 9 horas de trabajo colaborativo e individual, distribuidas equitativamente según las competencias y responsabilidades asumidas dentro del ciclo de desarrollo:</w:t>
      </w:r>
    </w:p>
    <w:tbl>
      <w:tblPr>
        <w:tblW w:type="auto" w:w="0"/>
        <w:jc w:val="center"/>
        <w:tblLook w:firstColumn="1" w:firstRow="1" w:lastColumn="0" w:lastRow="0" w:noHBand="0" w:noVBand="1" w:val="04A0"/>
      </w:tblPr>
      <w:tblGrid>
        <w:gridCol w:w="3120"/>
        <w:gridCol w:w="3120"/>
        <w:gridCol w:w="3120"/>
      </w:tblGrid>
      <w:tr>
        <w:tc>
          <w:tcPr>
            <w:tcW w:type="dxa" w:w="2592"/>
            <w:shd w:fill="2D3748"/>
            <w:tcMar>
              <w:top w:w="100" w:type="dxa"/>
              <w:bottom w:w="100" w:type="dxa"/>
              <w:left w:w="120" w:type="dxa"/>
              <w:right w:w="120" w:type="dxa"/>
            </w:tcMar>
          </w:tcPr>
          <w:p>
            <w:pPr>
              <w:spacing w:after="0"/>
              <w:jc w:val="left"/>
            </w:pPr>
            <w:r>
              <w:rPr>
                <w:b/>
                <w:color w:val="FFFFFF"/>
                <w:sz w:val="20"/>
              </w:rPr>
              <w:t>Integrante</w:t>
            </w:r>
          </w:p>
        </w:tc>
        <w:tc>
          <w:tcPr>
            <w:tcW w:type="dxa" w:w="1152"/>
            <w:shd w:fill="2D3748"/>
            <w:tcMar>
              <w:top w:w="100" w:type="dxa"/>
              <w:bottom w:w="100" w:type="dxa"/>
              <w:left w:w="120" w:type="dxa"/>
              <w:right w:w="120" w:type="dxa"/>
            </w:tcMar>
          </w:tcPr>
          <w:p>
            <w:pPr>
              <w:spacing w:after="0"/>
              <w:jc w:val="center"/>
            </w:pPr>
            <w:r>
              <w:rPr>
                <w:b/>
                <w:color w:val="FFFFFF"/>
                <w:sz w:val="20"/>
              </w:rPr>
              <w:t>Horas</w:t>
            </w:r>
          </w:p>
        </w:tc>
        <w:tc>
          <w:tcPr>
            <w:tcW w:type="dxa" w:w="5616"/>
            <w:shd w:fill="2D3748"/>
            <w:tcMar>
              <w:top w:w="100" w:type="dxa"/>
              <w:bottom w:w="100" w:type="dxa"/>
              <w:left w:w="120" w:type="dxa"/>
              <w:right w:w="120" w:type="dxa"/>
            </w:tcMar>
          </w:tcPr>
          <w:p>
            <w:pPr>
              <w:spacing w:after="0"/>
              <w:jc w:val="left"/>
            </w:pPr>
            <w:r>
              <w:rPr>
                <w:b/>
                <w:color w:val="FFFFFF"/>
                <w:sz w:val="20"/>
              </w:rPr>
              <w:t>Responsabilidades y Módulos Desarrollados</w:t>
            </w:r>
          </w:p>
        </w:tc>
      </w:tr>
      <w:tr>
        <w:tc>
          <w:tcPr>
            <w:tcW w:type="dxa" w:w="2592"/>
            <w:shd w:fill="F7FAFC"/>
            <w:tcMar>
              <w:top w:w="80" w:type="dxa"/>
              <w:bottom w:w="80" w:type="dxa"/>
              <w:left w:w="120" w:type="dxa"/>
              <w:right w:w="120" w:type="dxa"/>
            </w:tcMar>
          </w:tcPr>
          <w:p>
            <w:pPr>
              <w:spacing w:after="0" w:line="276" w:lineRule="auto"/>
              <w:jc w:val="left"/>
            </w:pPr>
            <w:r>
              <w:rPr>
                <w:b/>
                <w:sz w:val="19"/>
              </w:rPr>
              <w:t>Cristian Salamanca</w:t>
            </w:r>
          </w:p>
        </w:tc>
        <w:tc>
          <w:tcPr>
            <w:tcW w:type="dxa" w:w="1152"/>
            <w:shd w:fill="F7FAFC"/>
            <w:tcMar>
              <w:top w:w="80" w:type="dxa"/>
              <w:bottom w:w="80" w:type="dxa"/>
              <w:left w:w="120" w:type="dxa"/>
              <w:right w:w="120" w:type="dxa"/>
            </w:tcMar>
          </w:tcPr>
          <w:p>
            <w:pPr>
              <w:spacing w:after="0" w:line="276" w:lineRule="auto"/>
              <w:jc w:val="center"/>
            </w:pPr>
            <w:r>
              <w:rPr>
                <w:b/>
                <w:color w:val="000000"/>
                <w:sz w:val="19"/>
              </w:rPr>
              <w:t>4 h</w:t>
            </w:r>
          </w:p>
        </w:tc>
        <w:tc>
          <w:tcPr>
            <w:tcW w:type="dxa" w:w="5616"/>
            <w:shd w:fill="F7FAFC"/>
            <w:tcMar>
              <w:top w:w="80" w:type="dxa"/>
              <w:bottom w:w="80" w:type="dxa"/>
              <w:left w:w="120" w:type="dxa"/>
              <w:right w:w="120" w:type="dxa"/>
            </w:tcMar>
          </w:tcPr>
          <w:p>
            <w:pPr>
              <w:spacing w:after="0" w:line="276" w:lineRule="auto"/>
              <w:jc w:val="left"/>
            </w:pPr>
            <w:r>
              <w:rPr>
                <w:sz w:val="19"/>
              </w:rPr>
              <w:t>Estandarización de documentación técnica (Javadocs formales de clases y métodos, omitiendo atributos), diseño e implementación de la entidad Storm (Tormenta, Ciclo 3), diseño e implementación de la nueva entidad polimórfica Chameleon (Camaleón, Ciclo 5) y construcción de sus respectivas pruebas unitarias automatizadas.</w:t>
            </w:r>
          </w:p>
        </w:tc>
      </w:tr>
      <w:tr>
        <w:tc>
          <w:tcPr>
            <w:tcW w:type="dxa" w:w="2592"/>
            <w:shd w:fill="FFFFFF"/>
            <w:tcMar>
              <w:top w:w="80" w:type="dxa"/>
              <w:bottom w:w="80" w:type="dxa"/>
              <w:left w:w="120" w:type="dxa"/>
              <w:right w:w="120" w:type="dxa"/>
            </w:tcMar>
          </w:tcPr>
          <w:p>
            <w:pPr>
              <w:spacing w:after="0" w:line="276" w:lineRule="auto"/>
              <w:jc w:val="left"/>
            </w:pPr>
            <w:r>
              <w:rPr>
                <w:b/>
                <w:sz w:val="19"/>
              </w:rPr>
              <w:t>Juan David Espitia</w:t>
            </w:r>
          </w:p>
        </w:tc>
        <w:tc>
          <w:tcPr>
            <w:tcW w:type="dxa" w:w="1152"/>
            <w:shd w:fill="FFFFFF"/>
            <w:tcMar>
              <w:top w:w="80" w:type="dxa"/>
              <w:bottom w:w="80" w:type="dxa"/>
              <w:left w:w="120" w:type="dxa"/>
              <w:right w:w="120" w:type="dxa"/>
            </w:tcMar>
          </w:tcPr>
          <w:p>
            <w:pPr>
              <w:spacing w:after="0" w:line="276" w:lineRule="auto"/>
              <w:jc w:val="center"/>
            </w:pPr>
            <w:r>
              <w:rPr>
                <w:b/>
                <w:color w:val="000000"/>
                <w:sz w:val="19"/>
              </w:rPr>
              <w:t>5 h</w:t>
            </w:r>
          </w:p>
        </w:tc>
        <w:tc>
          <w:tcPr>
            <w:tcW w:type="dxa" w:w="5616"/>
            <w:shd w:fill="FFFFFF"/>
            <w:tcMar>
              <w:top w:w="80" w:type="dxa"/>
              <w:bottom w:w="80" w:type="dxa"/>
              <w:left w:w="120" w:type="dxa"/>
              <w:right w:w="120" w:type="dxa"/>
            </w:tcMar>
          </w:tcPr>
          <w:p>
            <w:pPr>
              <w:spacing w:after="0" w:line="276" w:lineRule="auto"/>
              <w:jc w:val="left"/>
            </w:pPr>
            <w:r>
              <w:rPr>
                <w:sz w:val="19"/>
              </w:rPr>
              <w:t>Arquitectura modular por paquetes (domain, presentation, test), diseño e implementación del modelo depredador-presa-recurso (Parte III: jerarquía Animal, Lion, Zebra, Ground, Grass), nuevo elefante SavannaElephant (Ciclo 4), arbustos Shrub (Ciclo 2), integración del motor discreto ticTac(), refactorización para eliminación de código duplicado y determinismo en JUnit.</w:t>
            </w:r>
          </w:p>
        </w:tc>
      </w:tr>
    </w:tbl>
    <w:p>
      <w:pPr>
        <w:keepNext/>
        <w:spacing w:before="320" w:after="120"/>
      </w:pPr>
      <w:r>
        <w:rPr>
          <w:rFonts w:ascii="Calibri" w:hAnsi="Calibri"/>
          <w:b/>
          <w:color w:val="000000"/>
          <w:sz w:val="25"/>
        </w:rPr>
        <w:t xml:space="preserve">2. </w:t>
      </w:r>
      <w:r>
        <w:rPr>
          <w:rFonts w:ascii="Calibri" w:hAnsi="Calibri"/>
          <w:b/>
          <w:color w:val="000000"/>
          <w:sz w:val="25"/>
        </w:rPr>
        <w:t>Estado actual del laboratorio</w:t>
      </w:r>
    </w:p>
    <w:p>
      <w:pPr>
        <w:spacing w:after="120" w:line="276" w:lineRule="auto"/>
        <w:jc w:val="both"/>
      </w:pPr>
      <w:r>
        <w:rPr>
          <w:b/>
          <w:color w:val="000000"/>
        </w:rPr>
        <w:t xml:space="preserve">Estado: Concluido y Verificado al 100%. </w:t>
      </w:r>
      <w:r>
        <w:rPr>
          <w:color w:val="2D3748"/>
        </w:rPr>
        <w:t>El laboratorio se encuentra en estado 100% culminado, funcional y rigurosamente verificado. Se completaron a cabalidad todas las especificaciones teóricas y prácticas planteadas en la guía de trabajo:</w:t>
      </w:r>
    </w:p>
    <w:p>
      <w:pPr>
        <w:spacing w:after="120" w:line="276" w:lineRule="auto"/>
        <w:jc w:val="both"/>
      </w:pPr>
      <w:r>
        <w:rPr>
          <w:color w:val="2D3748"/>
        </w:rPr>
        <w:t>• Cobertura Integral de Ciclos: Se desarrollaron exitosamente los Ciclos 1 al 5 y la Parte III (Reto de la Pradera: modelo depredador-presa-recurso). Cada entidad y componente (Elephant, Shrub, Storm, SavannaElephant, Chameleon, Lion, Zebra, Ground, Grass) cumple estrictamente los principios de herencia, encapsulamiento, abstracción y polimorfismo, evitando la redundancia estructural.</w:t>
        <w:br/>
        <w:t>• Batería de Pruebas Unitarias Automatizadas: Se implementó un conjunto robusto de 29 pruebas unitarias automatizadas con JUnit 4.12 distribuidas en 8 suites de prueba independientes (ElephantTest, ShrubTest, StormTest, SavannaElephantTest, ChameleonTest, PrairieTest, PredationTest y EcoSafariExceptionTest). La totalidad de las 29 pruebas pasa de manera determinística (100% de éxito, 0 fallos).</w:t>
        <w:br/>
        <w:t>• Arquitectura y Empaquetamiento: El código fuente se encuentra desacoplado en capas lógicas (domain, presentation y test), con manejo estandarizado de excepciones de dominio (EcoSafariException), documentación técnica Javadoc completa y preparado para su distribución como archivo ejecutable JAR.</w:t>
      </w:r>
    </w:p>
    <w:p>
      <w:pPr>
        <w:keepNext/>
        <w:spacing w:before="320" w:after="120"/>
      </w:pPr>
      <w:r>
        <w:rPr>
          <w:rFonts w:ascii="Calibri" w:hAnsi="Calibri"/>
          <w:b/>
          <w:color w:val="000000"/>
          <w:sz w:val="25"/>
        </w:rPr>
        <w:t xml:space="preserve">3. </w:t>
      </w:r>
      <w:r>
        <w:rPr>
          <w:rFonts w:ascii="Calibri" w:hAnsi="Calibri"/>
          <w:b/>
          <w:color w:val="000000"/>
          <w:sz w:val="25"/>
        </w:rPr>
        <w:t>Evaluación de prácticas Extreme Programming (XP): Test Unit First</w:t>
      </w:r>
    </w:p>
    <w:p>
      <w:pPr>
        <w:spacing w:after="120" w:line="276" w:lineRule="auto"/>
        <w:jc w:val="both"/>
      </w:pPr>
      <w:r>
        <w:rPr>
          <w:b/>
          <w:color w:val="000000"/>
        </w:rPr>
        <w:t xml:space="preserve">Práctica Más Útil: Testing – Code the unit test first. </w:t>
      </w:r>
      <w:r>
        <w:rPr>
          <w:color w:val="2D3748"/>
        </w:rPr>
        <w:t>Dentro del compendio de prácticas ágiles de Extreme Programming (XP) aplicadas a lo largo de este laboratorio, la práctica más determinante, esclarecedora y útil fue Testing: Code the unit test first (Test Unit First / Desarrollo Guiado por Pruebas).</w:t>
      </w:r>
    </w:p>
    <w:p>
      <w:pPr>
        <w:spacing w:after="120" w:line="276" w:lineRule="auto"/>
        <w:jc w:val="both"/>
      </w:pPr>
      <w:r>
        <w:rPr>
          <w:color w:val="2D3748"/>
        </w:rPr>
        <w:t>En un sistema de simulación discreta bidimensional como EcoSafari, el comportamiento de las entidades no opera de forma aislada, sino bajo una red dinámica de interacciones concurrentes y reglas de estado. Escribir la prueba unitaria antes de formular el código de producción aportó ventajas metodológicas decisivas:</w:t>
      </w:r>
    </w:p>
    <w:p>
      <w:pPr>
        <w:spacing w:after="120" w:line="276" w:lineRule="auto"/>
        <w:jc w:val="both"/>
      </w:pPr>
      <w:r>
        <w:rPr>
          <w:color w:val="2D3748"/>
        </w:rPr>
        <w:t>1. Especificación Contractual y Diseño Modular: Formular las pruebas unitarias en primer lugar obligó a definir con claridad las responsabilidades de cada clase, los invariantes biológicos (la energía no puede superar el 100% ni continuar viva con 0%) y los contratos de interfaz necesarios para evitar código redundante.</w:t>
        <w:br/>
        <w:t>2. Guía para la Abstracción sin Duplicación: Al diseñar las pruebas para Lion y Zebra de forma previa, se evidenció de inmediato que compartían cinemática, intercambio de celdas con tierra y consumo de energía, lo que impulsó la extracción temprana de esta lógica hacia una superclase abstracta común (Animal), impidiendo la duplicación de código desde la raíz.</w:t>
        <w:br/>
        <w:t>3. Refactorización Continua Segura: Permitió reestructurar algoritmos críticos —como la parametrización simétrica en 4 ejes de Ground.newAnimal()— con la certeza matemática de no alterar funcionalidades previas ni introducir regresiones.</w:t>
      </w:r>
    </w:p>
    <w:p>
      <w:pPr>
        <w:spacing w:after="120" w:line="276" w:lineRule="auto"/>
        <w:jc w:val="both"/>
      </w:pPr>
      <w:r>
        <w:rPr>
          <w:color w:val="2D3748"/>
        </w:rPr>
        <w:t>Como práctica complementaria, Coding Standards aseguró la uniformidad en nombres, visibilidad y documentación formal sin comentarios informales de línea única.</w:t>
      </w:r>
    </w:p>
    <w:p>
      <w:pPr>
        <w:keepNext/>
        <w:spacing w:before="320" w:after="120"/>
      </w:pPr>
      <w:r>
        <w:rPr>
          <w:rFonts w:ascii="Calibri" w:hAnsi="Calibri"/>
          <w:b/>
          <w:color w:val="000000"/>
          <w:sz w:val="25"/>
        </w:rPr>
        <w:t xml:space="preserve">4. </w:t>
      </w:r>
      <w:r>
        <w:rPr>
          <w:rFonts w:ascii="Calibri" w:hAnsi="Calibri"/>
          <w:b/>
          <w:color w:val="000000"/>
          <w:sz w:val="25"/>
        </w:rPr>
        <w:t>Mayor logro alcanzado y justificación técnica</w:t>
      </w:r>
    </w:p>
    <w:p>
      <w:pPr>
        <w:spacing w:after="120" w:line="276" w:lineRule="auto"/>
        <w:jc w:val="both"/>
      </w:pPr>
      <w:r>
        <w:rPr>
          <w:b/>
          <w:color w:val="000000"/>
        </w:rPr>
        <w:t xml:space="preserve">Logro Principal: Modelado y equilibrio del ecosistema depredador-presa-recurso bajo un diseño libre de redundancias. </w:t>
      </w:r>
      <w:r>
        <w:rPr>
          <w:color w:val="2D3748"/>
        </w:rPr>
        <w:t>El logro de mayor trascendencia técnica residió en el modelado, balance y sincronización del ecosistema depredador-presa-recurso (Parte III) mediante una arquitectura orientada por objetos limpia, reutilizable y polimórfica en EcoSafari.ticTac().</w:t>
      </w:r>
    </w:p>
    <w:p>
      <w:pPr>
        <w:spacing w:after="120" w:line="276" w:lineRule="auto"/>
        <w:jc w:val="both"/>
      </w:pPr>
      <w:r>
        <w:rPr>
          <w:color w:val="2D3748"/>
        </w:rPr>
        <w:t>Este aspecto constituyó el mayor hito técnico del proyecto al integrar armónicamente múltiples dinámicas concurrentes en una matriz bidimensional con vecindario de Moore de 8 celdas:</w:t>
        <w:br/>
        <w:t>• Jerarquía trófica polimórfica: Se logró modelar la locomoción diferencial, el gasto energético por paso y la alimentación selectiva (león devora cebra sumando 50% de energía; cebra devora hierba sumando 25%) a través del despacho dinámico de métodos, manteniendo clases concretas compactas y altamente especializadas.</w:t>
        <w:br/>
        <w:t>• Algoritmo de reproducción espacial colineal (Ground.newAnimal()): Se implementó la detección simétrica en los 4 ejes del plano discreto (horizontal {1, 0}, vertical {0, 1}, diagonal principal {1, 1} y diagonal secundaria {1, -1}). Este diseño interpretó fielmente el requerimiento ("en la celda de tierra") y evitó una explosión demográfica exponencial descontrolada, manteniendo el balance ecológico y la estabilidad de la simulación.</w:t>
      </w:r>
    </w:p>
    <w:p>
      <w:pPr>
        <w:keepNext/>
        <w:spacing w:before="320" w:after="120"/>
      </w:pPr>
      <w:r>
        <w:rPr>
          <w:rFonts w:ascii="Calibri" w:hAnsi="Calibri"/>
          <w:b/>
          <w:color w:val="000000"/>
          <w:sz w:val="25"/>
        </w:rPr>
        <w:t xml:space="preserve">5. </w:t>
      </w:r>
      <w:r>
        <w:rPr>
          <w:rFonts w:ascii="Calibri" w:hAnsi="Calibri"/>
          <w:b/>
          <w:color w:val="000000"/>
          <w:sz w:val="25"/>
        </w:rPr>
        <w:t>Mayor problema técnico enfrentado y estrategia de resolución</w:t>
      </w:r>
    </w:p>
    <w:p>
      <w:pPr>
        <w:spacing w:after="120" w:line="276" w:lineRule="auto"/>
        <w:jc w:val="both"/>
      </w:pPr>
      <w:r>
        <w:rPr>
          <w:b/>
          <w:color w:val="000000"/>
        </w:rPr>
        <w:t xml:space="preserve">Problema Técnico: Implementar correctamente los requerimientos del sistema sin incurrir en duplicación de código. </w:t>
      </w:r>
      <w:r>
        <w:rPr>
          <w:color w:val="2D3748"/>
        </w:rPr>
        <w:t>El desafío técnico más exigente del proyecto radicó en implementar la totalidad de los requerimientos de comportamiento, movimiento, predación y reproducción del ecosistema cumpliendo estrictamente el principio DRY (Don't Repeat Yourself), evitando la duplicación de lógica transversal en las múltiples entidades del dominio.</w:t>
      </w:r>
    </w:p>
    <w:p>
      <w:pPr>
        <w:spacing w:after="120" w:line="276" w:lineRule="auto"/>
        <w:jc w:val="both"/>
      </w:pPr>
      <w:r>
        <w:rPr>
          <w:color w:val="2D3748"/>
        </w:rPr>
        <w:t>• Naturaleza del Desafío: El laboratorio presentaba múltiples entidades con comportamientos parcialmente superpuestos. Por ejemplo: tanto Lion como Zebra debían desplazarse sobre celdas de tipo Ground, intercambiar posiciones, descontar un 10% de energía por movimiento y fallecer si su energía llegaba a 0%, diferenciándose únicamente en el avance (1 celda en el león frente a 2 celdas en la cebra) y en su objetivo alimenticio. Asimismo, la inspección de vecinos para predar y la detección simétrica de progenitores para la reproducción en Ground amenazaban con generar bloques masivos de condicionales redundantes e iteraciones repetidas si no se abordaban con abstracción adecuada.</w:t>
        <w:br/>
        <w:t>• Estrategia de Resolución y Diseño:</w:t>
        <w:br/>
        <w:t xml:space="preserve">  1. Jerarquía Abstracta Animal (Patrón Template Method): Se factorizó la cinemática común en la clase abstracta Animal, parametrizando la cantidad de pasos a través de atributos protegidos e implementando el algoritmo general de desplazamiento e intercambio con tierra en un único método moveAnimal(). De este modo, las subclases Lion y Zebra solo implementan su lógica particular de alimentación (eat()) y reproducción (reproduce()), reutilizando íntegramente la lógica de locomoción y control de energía.</w:t>
        <w:br/>
        <w:t xml:space="preserve">  2. Vectorización Simétrica en Ground.newAnimal(): En lugar de replicar bloques condicionales para cada dirección cardinal y diagonal, se parametrizó la búsqueda en un vector de desplazamientos relativos ({1, 0}, {0, 1}, {1, 1}, {1, -1}). Un único bucle evalúa simétricamente los extremos colineales y delega la creación del nuevo individuo al método polimórfico reproduce() del animal encontrado, logrando cobertura total en los 4 ejes sin duplicar una sola línea de código.</w:t>
        <w:br/>
        <w:t xml:space="preserve">  3. Reutilización en Pruebas Unitarias: Esta misma separación limpia permitió aislar la cinemática de las entidades de los efectos secundarios estocásticos de la matriz (como el brote aleatorio de hierba en Ground), resolviendo con facilidad los tests unitarios y garantizando un 100% de determinismo.</w:t>
      </w:r>
    </w:p>
    <w:p>
      <w:pPr>
        <w:keepNext/>
        <w:spacing w:before="320" w:after="120"/>
      </w:pPr>
      <w:r>
        <w:rPr>
          <w:rFonts w:ascii="Calibri" w:hAnsi="Calibri"/>
          <w:b/>
          <w:color w:val="000000"/>
          <w:sz w:val="25"/>
        </w:rPr>
        <w:t xml:space="preserve">6. </w:t>
      </w:r>
      <w:r>
        <w:rPr>
          <w:rFonts w:ascii="Calibri" w:hAnsi="Calibri"/>
          <w:b/>
          <w:color w:val="000000"/>
          <w:sz w:val="25"/>
        </w:rPr>
        <w:t>Desempeño del equipo y compromisos de mejora</w:t>
      </w:r>
    </w:p>
    <w:p>
      <w:pPr>
        <w:spacing w:after="120" w:line="276" w:lineRule="auto"/>
        <w:jc w:val="both"/>
      </w:pPr>
      <w:r>
        <w:rPr>
          <w:b/>
          <w:color w:val="000000"/>
        </w:rPr>
        <w:t xml:space="preserve">Evaluación del Desempeño: </w:t>
      </w:r>
      <w:r>
        <w:rPr>
          <w:color w:val="2D3748"/>
        </w:rPr>
        <w:t>Aciertos Destacados del Equipo:</w:t>
        <w:br/>
        <w:t>• Cohesión y Modularidad en el Reparto de Tareas: Se estructuró una división de trabajo que favoreció el diseño sin duplicaciones; mientras un integrante se enfocó en las entidades polimórficas complementarias (Storm, Chameleon) y en la estandarización de la documentación técnica formal, el otro abordó la arquitectura base de la pradera, la jerarquía Animal y el motor discreto ticTac().</w:t>
        <w:br/>
        <w:t>• Revisiones Cruzadas de Código (Code Review): Se realizaron inspecciones continuas del código fuente para asegurar la eliminación de código redundante, la correcta aplicación del polimorfismo y el estricto cumplimiento de los estándares de codificación solicitados.</w:t>
      </w:r>
    </w:p>
    <w:p>
      <w:pPr>
        <w:spacing w:after="120" w:line="276" w:lineRule="auto"/>
        <w:jc w:val="both"/>
      </w:pPr>
      <w:r>
        <w:rPr>
          <w:b/>
          <w:color w:val="000000"/>
        </w:rPr>
        <w:t xml:space="preserve">Compromisos de Mejora: </w:t>
      </w:r>
      <w:r>
        <w:rPr>
          <w:color w:val="2D3748"/>
        </w:rPr>
        <w:t>Compromisos de Mejora para Próximos Ciclos:</w:t>
        <w:br/>
        <w:t>• Refactorización Temprana basada en Patrones: Continuar identificando oportunidades de abstracción (como patrones Strategy o State) desde la formulación inicial de diagramas UML en Astah, previniendo refactorizaciones tardías.</w:t>
        <w:br/>
        <w:t>• Desacoplamiento de Componentes Estocásticos: En futuras simulaciones que involucren probabilidades aleatorias, se implementará inyección de dependencias para generadores pseudoaleatorios configurables con semilla fija, facilitando pruebas determinísticas a nivel de integración completa.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D374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