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Marcacion IVR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04/08/2025 08:21:44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✅ Todos los pasos fueron completados exitosamente.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0 min 40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cambiate a postpago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cambiate_a_postpago_20250804_0821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ambiate_a_postpago_20250804_082134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