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Documentación del estado actual de la plataforma</w:t>
      </w:r>
    </w:p>
    <w:p>
      <w:pPr>
        <w:jc w:val="center"/>
      </w:pPr>
      <w:r>
        <w:rPr>
          <w:i/>
          <w:sz w:val="26"/>
        </w:rPr>
        <w:t>Proceso constructivo, decisiones de diseño y guía de diagramas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056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19"/>
              </w:rPr>
              <w:t>Alcance documentado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Producto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Plataforma de evaluaciones técnicas de programación</w:t>
            </w:r>
          </w:p>
        </w:tc>
      </w:tr>
      <w:tr>
        <w:tc>
          <w:tcPr>
            <w:tcW w:type="dxa" w:w="2304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Estado</w:t>
            </w:r>
          </w:p>
        </w:tc>
        <w:tc>
          <w:tcPr>
            <w:tcW w:type="dxa" w:w="7056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Implementación actual del repositorio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Arquitectura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Monolito modular: React/Vite, NestJS, PostgreSQL/Prisma y Judge0</w:t>
            </w:r>
          </w:p>
        </w:tc>
      </w:tr>
      <w:tr>
        <w:tc>
          <w:tcPr>
            <w:tcW w:type="dxa" w:w="2304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Propósito</w:t>
            </w:r>
          </w:p>
        </w:tc>
        <w:tc>
          <w:tcPr>
            <w:tcW w:type="dxa" w:w="7056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Explicar cómo se construyó la solución y por qué se tomaron las decisiones principales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Diagramas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Seis fuentes D2 independientes, listas para compilar e insertar</w:t>
            </w:r>
          </w:p>
        </w:tc>
      </w:tr>
    </w:tbl>
    <w:p>
      <w:pPr>
        <w:spacing w:after="80"/>
      </w:pPr>
    </w:p>
    <w:p>
      <w:pPr>
        <w:spacing w:after="140" w:line="269" w:lineRule="auto"/>
      </w:pPr>
      <w:r>
        <w:t>Este documento describe el estado actual de la Technical Assessment Platform a partir de su implementación. La solución separa la experiencia de candidato y la administración, mantiene reglas de negocio en una API NestJS modular y delega la ejecución de código no confiable a Judge0. El resultado es una base extensible para asignar retos, controlar intentos y evaluar soluciones de programación sin ejecutar código arbitrario dentro del backend.</w:t>
      </w:r>
    </w:p>
    <w:p>
      <w:pPr>
        <w:pStyle w:val="Heading1"/>
        <w:spacing w:before="280" w:after="120"/>
      </w:pPr>
      <w:r>
        <w:rPr>
          <w:color w:val="000000"/>
        </w:rPr>
        <w:t>1 Alcance y lectura del documento</w:t>
      </w:r>
    </w:p>
    <w:p>
      <w:pPr>
        <w:spacing w:after="140" w:line="269" w:lineRule="auto"/>
      </w:pPr>
      <w:r>
        <w:t>La documentación está orientada a explicar decisiones verificables en el código actual, no a reconstruir decisiones históricas que no quedaron registradas. El orden constructivo expuesto es una lectura técnica razonada: parte del modelo de dominio y llega a la experiencia, la seguridad y el despliegue.</w:t>
      </w:r>
    </w:p>
    <w:p>
      <w:pPr>
        <w:pStyle w:val="ListBullet"/>
        <w:spacing w:after="60"/>
      </w:pPr>
      <w:r>
        <w:t>Los marcadores de diagrama indican el lugar exacto para insertar cada imagen compilada desde D2.</w:t>
      </w:r>
    </w:p>
    <w:p>
      <w:pPr>
        <w:pStyle w:val="ListBullet"/>
        <w:spacing w:after="60"/>
      </w:pPr>
      <w:r>
        <w:t>Los archivos fuente están en docs/diagramas-d2 y pueden exportarse a SVG o PNG.</w:t>
      </w:r>
    </w:p>
    <w:p>
      <w:pPr>
        <w:pStyle w:val="ListBullet"/>
        <w:spacing w:after="60"/>
      </w:pPr>
      <w:r>
        <w:t>La entidad AssessmentResult permanece en el esquema por compatibilidad; el flujo actual de la interfaz y las submissions se centra en AssessmentAttempt.</w:t>
      </w:r>
    </w:p>
    <w:p>
      <w:pPr>
        <w:pStyle w:val="Heading1"/>
        <w:spacing w:before="280" w:after="120"/>
      </w:pPr>
      <w:r>
        <w:rPr>
          <w:color w:val="000000"/>
        </w:rPr>
        <w:t>2 Entendimiento del problema</w:t>
      </w:r>
    </w:p>
    <w:p>
      <w:pPr>
        <w:spacing w:after="140" w:line="269" w:lineRule="auto"/>
      </w:pPr>
      <w:r>
        <w:t>El problema se entendió como una plataforma para administrar y resolver evaluaciones técnicas de programación. Un administrador configura evaluaciones, preguntas, lenguajes permitidos, casos de prueba y ventanas de disponibilidad. Un candidato autenticado solo consulta las evaluaciones que le fueron asignadas, inicia un intento con vencimiento y recibe resultados de sus ejecuciones.</w:t>
      </w:r>
    </w:p>
    <w:p>
      <w:pPr>
        <w:pStyle w:val="Heading2"/>
        <w:spacing w:before="180" w:after="120"/>
      </w:pPr>
      <w:r>
        <w:rPr>
          <w:color w:val="000000"/>
        </w:rPr>
        <w:t>Actores y objetivos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type="dxa" w:w="4032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19"/>
              </w:rPr>
              <w:t>Objetivo principal</w:t>
            </w:r>
          </w:p>
        </w:tc>
        <w:tc>
          <w:tcPr>
            <w:tcW w:type="dxa" w:w="3528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19"/>
              </w:rPr>
              <w:t>Límites relevantes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Administrador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Crear, publicar, asignar y revisar evaluaciones.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Solo puede asignar evaluaciones publicadas y debe definir una ventana válida.</w:t>
            </w:r>
          </w:p>
        </w:tc>
      </w:tr>
      <w:tr>
        <w:tc>
          <w:tcPr>
            <w:tcW w:type="dxa" w:w="1800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Candidato</w:t>
            </w:r>
          </w:p>
        </w:tc>
        <w:tc>
          <w:tcPr>
            <w:tcW w:type="dxa" w:w="4032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Resolver ejercicios y consultar su resultado.</w:t>
            </w:r>
          </w:p>
        </w:tc>
        <w:tc>
          <w:tcPr>
            <w:tcW w:type="dxa" w:w="3528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Solo accede a evaluaciones asignadas, dentro de disponibilidad y con JWT.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Judge0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Compilar y ejecutar código.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Es externo a la API; recibe límites de recursos y red deshabilitada.</w:t>
            </w:r>
          </w:p>
        </w:tc>
      </w:tr>
    </w:tbl>
    <w:p>
      <w:pPr>
        <w:spacing w:after="80"/>
      </w:pPr>
    </w:p>
    <w:p>
      <w:pPr>
        <w:spacing w:before="160" w:after="60"/>
        <w:jc w:val="center"/>
      </w:pPr>
      <w:r>
        <w:rPr>
          <w:b/>
          <w:color w:val="1F4E79"/>
          <w:sz w:val="24"/>
        </w:rPr>
        <w:t>[INSERTAR DIAGRAMA 1: casos de uso]</w:t>
      </w:r>
    </w:p>
    <w:p>
      <w:pPr>
        <w:spacing w:after="160"/>
        <w:jc w:val="center"/>
      </w:pPr>
      <w:r>
        <w:rPr>
          <w:i/>
        </w:rPr>
        <w:t>Archivo D2: docs/diagramas-d2/01-casos-de-uso.d2. Resume las responsabilidades de candidato y administrador.</w:t>
      </w:r>
    </w:p>
    <w:p>
      <w:pPr>
        <w:pStyle w:val="Heading1"/>
        <w:spacing w:before="280" w:after="120"/>
      </w:pPr>
      <w:r>
        <w:rPr>
          <w:color w:val="000000"/>
        </w:rPr>
        <w:t>3 Proceso constructivo y decisiones de diseño</w:t>
      </w:r>
    </w:p>
    <w:p>
      <w:pPr>
        <w:pStyle w:val="Heading2"/>
        <w:spacing w:before="180" w:after="120"/>
      </w:pPr>
      <w:r>
        <w:rPr>
          <w:color w:val="000000"/>
        </w:rPr>
        <w:t>3.1 Modelar el núcleo antes de la interfaz</w:t>
      </w:r>
    </w:p>
    <w:p>
      <w:pPr>
        <w:spacing w:after="140" w:line="269" w:lineRule="auto"/>
      </w:pPr>
      <w:r>
        <w:t>El primer bloque debía responder qué se evalúa, quién lo resuelve y cómo se conserva evidencia. Por eso el modelo Prisma define Assessment, Question, TestCase, Submission y TestResult, junto con usuarios, asignaciones e intentos. Las relaciones, restricciones únicas e índices expresan invariantes directamente en la persistencia: la posición de una pregunta es única dentro de una evaluación y un resultado de prueba es único para una submission y un caso.</w:t>
      </w:r>
    </w:p>
    <w:p>
      <w:pPr>
        <w:spacing w:after="140" w:line="269" w:lineRule="auto"/>
      </w:pPr>
      <w:r>
        <w:t>Decisión de diseño: se almacenan los casos de prueba y los resultados por separado. Esto permite que una misma pregunta tenga casos visibles y ocultos, que cada ejecución sea auditable y que el detalle privado no se devuelva al candidato.</w:t>
      </w:r>
    </w:p>
    <w:p>
      <w:pPr>
        <w:spacing w:before="160" w:after="60"/>
        <w:jc w:val="center"/>
      </w:pPr>
      <w:r>
        <w:rPr>
          <w:b/>
          <w:color w:val="1F4E79"/>
          <w:sz w:val="24"/>
        </w:rPr>
        <w:t>[INSERTAR DIAGRAMA 2: modelo de dominio y datos]</w:t>
      </w:r>
    </w:p>
    <w:p>
      <w:pPr>
        <w:spacing w:after="160"/>
        <w:jc w:val="center"/>
      </w:pPr>
      <w:r>
        <w:rPr>
          <w:i/>
        </w:rPr>
        <w:t>Archivo D2: docs/diagramas-d2/02-modelo-dominio-y-datos.d2. Representa entidades principales, atributos de negocio y cardinalidades.</w:t>
      </w:r>
    </w:p>
    <w:p>
      <w:pPr>
        <w:pStyle w:val="Heading2"/>
        <w:spacing w:before="180" w:after="120"/>
      </w:pPr>
      <w:r>
        <w:rPr>
          <w:color w:val="000000"/>
        </w:rPr>
        <w:t>3.2 Organizar la API como monolito modular</w:t>
      </w:r>
    </w:p>
    <w:p>
      <w:pPr>
        <w:spacing w:after="140" w:line="269" w:lineRule="auto"/>
      </w:pPr>
      <w:r>
        <w:t>Con el dominio definido, el backend se dividió por módulos funcionales: autenticación, asignaciones, evaluaciones, preguntas, intentos, submissions, ejecución y evaluación. Cada módulo separa presentación, aplicación, dominio e infraestructura. Los controladores se mantienen como entrada HTTP; los casos de uso contienen la coordinación y las reglas; Prisma implementa repositorios; Judge0 queda detrás de un puerto de dominio.</w:t>
      </w:r>
    </w:p>
    <w:p>
      <w:pPr>
        <w:spacing w:after="140" w:line="269" w:lineRule="auto"/>
      </w:pPr>
      <w:r>
        <w:t>Decisión de diseño: se eligió un monolito modular en lugar de microservicios. Para una plataforma de este tamaño reduce complejidad operacional y mantiene límites internos claros. El puerto CodeExecutionPort deja abierta la sustitución de Judge0 sin propagar dependencia del proveedor por la aplicación.</w:t>
      </w:r>
    </w:p>
    <w:p>
      <w:pPr>
        <w:spacing w:before="160" w:after="60"/>
        <w:jc w:val="center"/>
      </w:pPr>
      <w:r>
        <w:rPr>
          <w:b/>
          <w:color w:val="1F4E79"/>
          <w:sz w:val="24"/>
        </w:rPr>
        <w:t>[INSERTAR DIAGRAMA 3: componentes de la solución]</w:t>
      </w:r>
    </w:p>
    <w:p>
      <w:pPr>
        <w:spacing w:after="160"/>
        <w:jc w:val="center"/>
      </w:pPr>
      <w:r>
        <w:rPr>
          <w:i/>
        </w:rPr>
        <w:t>Archivo D2: docs/diagramas-d2/03-componentes.d2. Muestra fronteras entre frontend, módulos de API, persistencia y ejecución externa.</w:t>
      </w:r>
    </w:p>
    <w:p>
      <w:pPr>
        <w:pStyle w:val="Heading2"/>
        <w:spacing w:before="180" w:after="120"/>
      </w:pPr>
      <w:r>
        <w:rPr>
          <w:color w:val="000000"/>
        </w:rPr>
        <w:t>3.3 Construir el flujo de evaluación con control de tiempo</w:t>
      </w:r>
    </w:p>
    <w:p>
      <w:pPr>
        <w:spacing w:after="140" w:line="269" w:lineRule="auto"/>
      </w:pPr>
      <w:r>
        <w:t>El candidato inicia un AssessmentAttempt solo si la evaluación está publicada y tiene una asignación vigente. El servidor calcula expiresAt y vuelve a validar que el intento siga activo antes y después de cada llamada al proveedor. Si hay un intento activo se reutiliza; si ya se completó, se devuelve el completado. Así, la regla de tiempo no depende del reloj del navegador.</w:t>
      </w:r>
    </w:p>
    <w:p>
      <w:pPr>
        <w:spacing w:after="140" w:line="269" w:lineRule="auto"/>
      </w:pPr>
      <w:r>
        <w:t>Decisión de diseño: el progreso se recalcula desde las submissions evaluadas del intento. El resultado de cada pregunta considera su última submission evaluada y el puntaje agregado se pondera con el score configurado para cada pregunta. Cuando todas están evaluadas el intento se completa; de otro modo se actualiza su resumen.</w:t>
      </w:r>
    </w:p>
    <w:p>
      <w:pPr>
        <w:pStyle w:val="Heading2"/>
        <w:spacing w:before="180" w:after="120"/>
      </w:pPr>
      <w:r>
        <w:rPr>
          <w:color w:val="000000"/>
        </w:rPr>
        <w:t>3.4 Ejecutar código no confiable fuera del backend</w:t>
      </w:r>
    </w:p>
    <w:p>
      <w:pPr>
        <w:spacing w:after="140" w:line="269" w:lineRule="auto"/>
      </w:pPr>
      <w:r>
        <w:t>La ejecución reclama primero la submission para evitar dobles ejecuciones concurrentes. Después itera los casos de prueba: envía código, lenguaje y entrada a Judge0, normaliza la respuesta, compara la salida y persiste un TestResult. Al finalizar, calcula el puntaje y actualiza el intento. Ante un error se libera el reclamo para que la submission no quede bloqueada.</w:t>
      </w:r>
    </w:p>
    <w:p>
      <w:pPr>
        <w:spacing w:after="140" w:line="269" w:lineRule="auto"/>
      </w:pPr>
      <w:r>
        <w:t>Decisión de diseño: la API nunca ejecuta código del candidato localmente. Judge0 recibe límites configurables de CPU, tiempo de pared, memoria, procesos y tamaño de archivo; además se solicita la red deshabilitada. Los casos ocultos se persisten y participan en el puntaje, pero su entrada, salida esperada, detalle de ejecución y mensaje se omiten de la respuesta del candidato.</w:t>
      </w:r>
    </w:p>
    <w:p>
      <w:pPr>
        <w:spacing w:before="160" w:after="60"/>
        <w:jc w:val="center"/>
      </w:pPr>
      <w:r>
        <w:rPr>
          <w:b/>
          <w:color w:val="1F4E79"/>
          <w:sz w:val="24"/>
        </w:rPr>
        <w:t>[INSERTAR DIAGRAMA 4: secuencia de ejecución de una submission]</w:t>
      </w:r>
    </w:p>
    <w:p>
      <w:pPr>
        <w:spacing w:after="160"/>
        <w:jc w:val="center"/>
      </w:pPr>
      <w:r>
        <w:rPr>
          <w:i/>
        </w:rPr>
        <w:t>Archivo D2: docs/diagramas-d2/04-secuencia-ejecucion-submission.d2. Explica la secuencia desde el editor hasta el reporte de resultados.</w:t>
      </w:r>
    </w:p>
    <w:p>
      <w:pPr>
        <w:pStyle w:val="Heading2"/>
        <w:spacing w:before="180" w:after="120"/>
      </w:pPr>
      <w:r>
        <w:rPr>
          <w:color w:val="000000"/>
        </w:rPr>
        <w:t>3.5 Cerrar los límites de acceso y capacidad</w:t>
      </w:r>
    </w:p>
    <w:p>
      <w:pPr>
        <w:spacing w:after="140" w:line="269" w:lineRule="auto"/>
      </w:pPr>
      <w:r>
        <w:t>La capa de autenticación usa JWT y roles ADMIN/CANDIDATE. El registro público crea únicamente candidatos. En la API, la asignación, publicación, disponibilidad, propiedad del intento, lenguajes permitidos, duración y cuotas se validan en servidor. La documentación del repositorio establece un máximo de 30 000 caracteres por submission y 20 submissions por intento.</w:t>
      </w:r>
    </w:p>
    <w:p>
      <w:pPr>
        <w:spacing w:after="140" w:line="269" w:lineRule="auto"/>
      </w:pPr>
      <w:r>
        <w:t>Decisión de diseño: la protección no se limita a ocultar pantallas. Las rutas frontend se protegen para la experiencia y los guards/validaciones backend protegen el dato. Esta doble capa evita que una llamada directa a la API permita consultar o ejecutar recursos fuera de autorización.</w:t>
      </w:r>
    </w:p>
    <w:p>
      <w:pPr>
        <w:spacing w:before="160" w:after="60"/>
        <w:jc w:val="center"/>
      </w:pPr>
      <w:r>
        <w:rPr>
          <w:b/>
          <w:color w:val="1F4E79"/>
          <w:sz w:val="24"/>
        </w:rPr>
        <w:t>[INSERTAR DIAGRAMA 5: estados del intento y de la submission]</w:t>
      </w:r>
    </w:p>
    <w:p>
      <w:pPr>
        <w:spacing w:after="160"/>
        <w:jc w:val="center"/>
      </w:pPr>
      <w:r>
        <w:rPr>
          <w:i/>
        </w:rPr>
        <w:t>Archivo D2: docs/diagramas-d2/05-estados-del-intento-y-submission.d2. Sintetiza las transiciones que condicionan ejecución y cierre.</w:t>
      </w:r>
    </w:p>
    <w:p>
      <w:pPr>
        <w:pStyle w:val="Heading2"/>
        <w:spacing w:before="180" w:after="120"/>
      </w:pPr>
      <w:r>
        <w:rPr>
          <w:color w:val="000000"/>
        </w:rPr>
        <w:t>3.6 Preparar la operación local y el despliegue</w:t>
      </w:r>
    </w:p>
    <w:p>
      <w:pPr>
        <w:spacing w:after="140" w:line="269" w:lineRule="auto"/>
      </w:pPr>
      <w:r>
        <w:t>Para desarrollo local se usa Docker Compose únicamente para PostgreSQL; el monorepo pnpm permite ejecutar API y web en paralelo. Para producción, Terraform define una alternativa de coste contenido en AWS: frontend estático en S3 privado detrás de CloudFront, API NestJS en EC2 con Nginx y PostgreSQL en RDS privado. CloudFront enruta /api hacia la API, por lo que el navegador consume una ruta relativa y evita una URL de backend expuesta.</w:t>
      </w:r>
    </w:p>
    <w:p>
      <w:pPr>
        <w:spacing w:after="140" w:line="269" w:lineRule="auto"/>
      </w:pPr>
      <w:r>
        <w:t>Decisión de diseño: la instancia EC2 pública puede salir a Judge0 sin un NAT Gateway, mientras RDS permanece en una red privada y solo acepta tráfico de la instancia. Esta configuración favorece bajo coste para una demostración; no pretende proporcionar alta disponibilidad ni un Judge0 privado.</w:t>
      </w:r>
    </w:p>
    <w:p>
      <w:pPr>
        <w:spacing w:before="160" w:after="60"/>
        <w:jc w:val="center"/>
      </w:pPr>
      <w:r>
        <w:rPr>
          <w:b/>
          <w:color w:val="1F4E79"/>
          <w:sz w:val="24"/>
        </w:rPr>
        <w:t>[INSERTAR DIAGRAMA 6: despliegue objetivo en AWS]</w:t>
      </w:r>
    </w:p>
    <w:p>
      <w:pPr>
        <w:spacing w:after="160"/>
        <w:jc w:val="center"/>
      </w:pPr>
      <w:r>
        <w:rPr>
          <w:i/>
        </w:rPr>
        <w:t>Archivo D2: docs/diagramas-d2/06-despliegue-aws.d2. Muestra la topología descrita por la infraestructura Terraform.</w:t>
      </w:r>
    </w:p>
    <w:p>
      <w:pPr>
        <w:pStyle w:val="Heading1"/>
        <w:spacing w:before="280" w:after="120"/>
      </w:pPr>
      <w:r>
        <w:rPr>
          <w:color w:val="000000"/>
        </w:rPr>
        <w:t>4 Arquitectura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252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5256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Cliente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React, Vite y Monaco Editor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Rutas por rol, editor, temporizador y consumo de API.</w:t>
            </w:r>
          </w:p>
        </w:tc>
      </w:tr>
      <w:tr>
        <w:tc>
          <w:tcPr>
            <w:tcW w:type="dxa" w:w="1584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API</w:t>
            </w:r>
          </w:p>
        </w:tc>
        <w:tc>
          <w:tcPr>
            <w:tcW w:type="dxa" w:w="2520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NestJS y TypeScript</w:t>
            </w:r>
          </w:p>
        </w:tc>
        <w:tc>
          <w:tcPr>
            <w:tcW w:type="dxa" w:w="5256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Reglas de negocio, JWT, validación, coordinación de casos de uso.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Persistencia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PostgreSQL y Prisma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Modelo relacional, migraciones y repositorios.</w:t>
            </w:r>
          </w:p>
        </w:tc>
      </w:tr>
      <w:tr>
        <w:tc>
          <w:tcPr>
            <w:tcW w:type="dxa" w:w="1584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Ejecución</w:t>
            </w:r>
          </w:p>
        </w:tc>
        <w:tc>
          <w:tcPr>
            <w:tcW w:type="dxa" w:w="2520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Judge0 mediante adaptador</w:t>
            </w:r>
          </w:p>
        </w:tc>
        <w:tc>
          <w:tcPr>
            <w:tcW w:type="dxa" w:w="5256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Sandbox de compilación y ejecución de código no confiable.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Infraestructura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Docker Compose y Terraform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Entorno local y despliegue AWS de bajo coste.</w:t>
            </w:r>
          </w:p>
        </w:tc>
      </w:tr>
    </w:tbl>
    <w:p>
      <w:pPr>
        <w:spacing w:after="80"/>
      </w:pPr>
    </w:p>
    <w:p>
      <w:pPr>
        <w:pStyle w:val="Heading2"/>
        <w:spacing w:before="180" w:after="120"/>
      </w:pPr>
      <w:r>
        <w:rPr>
          <w:color w:val="000000"/>
        </w:rPr>
        <w:t>Módulos de negocio</w:t>
      </w:r>
    </w:p>
    <w:p>
      <w:pPr>
        <w:pStyle w:val="ListBullet"/>
        <w:spacing w:after="60"/>
      </w:pPr>
      <w:r>
        <w:t>Auth: registro, login, perfil, hash de contraseña, JWT y roles.</w:t>
      </w:r>
    </w:p>
    <w:p>
      <w:pPr>
        <w:pStyle w:val="ListBullet"/>
        <w:spacing w:after="60"/>
      </w:pPr>
      <w:r>
        <w:t>Assignment: asignación de evaluaciones a candidatos y ventana de disponibilidad.</w:t>
      </w:r>
    </w:p>
    <w:p>
      <w:pPr>
        <w:pStyle w:val="ListBullet"/>
        <w:spacing w:after="60"/>
      </w:pPr>
      <w:r>
        <w:t>Assessment y Question: ciclo de vida de evaluaciones, preguntas, lenguajes y casos de prueba.</w:t>
      </w:r>
    </w:p>
    <w:p>
      <w:pPr>
        <w:pStyle w:val="ListBullet"/>
        <w:spacing w:after="60"/>
      </w:pPr>
      <w:r>
        <w:t>AssessmentAttempt: inicio, vigencia, resumen y finalización del intento actual.</w:t>
      </w:r>
    </w:p>
    <w:p>
      <w:pPr>
        <w:pStyle w:val="ListBullet"/>
        <w:spacing w:after="60"/>
      </w:pPr>
      <w:r>
        <w:t>Submission, Execution y Evaluation: ejecución aislada, persistencia de resultados y puntuación.</w:t>
      </w:r>
    </w:p>
    <w:p>
      <w:pPr>
        <w:pStyle w:val="ListBullet"/>
        <w:spacing w:after="60"/>
      </w:pPr>
      <w:r>
        <w:t>AssessmentResult: consultas de resultados y estructura conservada en el modelo para resultados de evaluación.</w:t>
      </w:r>
    </w:p>
    <w:p>
      <w:pPr>
        <w:pStyle w:val="Heading1"/>
        <w:spacing w:before="280" w:after="120"/>
      </w:pPr>
      <w:r>
        <w:rPr>
          <w:color w:val="000000"/>
        </w:rPr>
        <w:t>5 Decisiones de diseño resumidas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3816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19"/>
              </w:rPr>
              <w:t>Motivación</w:t>
            </w:r>
          </w:p>
        </w:tc>
        <w:tc>
          <w:tcPr>
            <w:tcW w:type="dxa" w:w="3744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19"/>
              </w:rPr>
              <w:t>Consecuencia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Monolito modular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Separar responsabilidades sin distribuir la operación prematuramente.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Módulos sustituibles internamente con despliegue simple.</w:t>
            </w:r>
          </w:p>
        </w:tc>
      </w:tr>
      <w:tr>
        <w:tc>
          <w:tcPr>
            <w:tcW w:type="dxa" w:w="1800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Prisma con PostgreSQL</w:t>
            </w:r>
          </w:p>
        </w:tc>
        <w:tc>
          <w:tcPr>
            <w:tcW w:type="dxa" w:w="3816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Relaciones y restricciones del dominio requieren consistencia.</w:t>
            </w:r>
          </w:p>
        </w:tc>
        <w:tc>
          <w:tcPr>
            <w:tcW w:type="dxa" w:w="3744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Migraciones versionadas y consultas centralizadas en repositorios.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Intento en servidor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El tiempo y autorización no deben depender del navegador.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Vigencia comprobada en operaciones sensibles.</w:t>
            </w:r>
          </w:p>
        </w:tc>
      </w:tr>
      <w:tr>
        <w:tc>
          <w:tcPr>
            <w:tcW w:type="dxa" w:w="1800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Puerto de ejecución</w:t>
            </w:r>
          </w:p>
        </w:tc>
        <w:tc>
          <w:tcPr>
            <w:tcW w:type="dxa" w:w="3816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El proveedor de sandbox debe ser intercambiable.</w:t>
            </w:r>
          </w:p>
        </w:tc>
        <w:tc>
          <w:tcPr>
            <w:tcW w:type="dxa" w:w="3744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Judge0 queda aislado en un adaptador de infraestructura.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Casos ocultos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Evitar revelar la solución de validación.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El candidato recibe solo información permitida.</w:t>
            </w:r>
          </w:p>
        </w:tc>
      </w:tr>
      <w:tr>
        <w:tc>
          <w:tcPr>
            <w:tcW w:type="dxa" w:w="1800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CloudFront con ruta relativa API</w:t>
            </w:r>
          </w:p>
        </w:tc>
        <w:tc>
          <w:tcPr>
            <w:tcW w:type="dxa" w:w="3816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Simplificar consumo seguro del frontend.</w:t>
            </w:r>
          </w:p>
        </w:tc>
        <w:tc>
          <w:tcPr>
            <w:tcW w:type="dxa" w:w="3744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Sin mixed content ni endpoint directo configurado en navegador.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color w:val="000000"/>
        </w:rPr>
        <w:t>6 Guía para compilar e insertar los diagramas</w:t>
      </w:r>
    </w:p>
    <w:p>
      <w:pPr>
        <w:spacing w:after="140" w:line="269" w:lineRule="auto"/>
      </w:pPr>
      <w:r>
        <w:t>Las fuentes se entregan separadas para que puedan mantenerse con el código. Desde la raíz del repositorio, con D2 instalado, se puede generar cada imagen con el siguiente patrón:</w:t>
      </w:r>
    </w:p>
    <w:p>
      <w:pPr>
        <w:ind w:left="504"/>
      </w:pPr>
      <w:r>
        <w:rPr>
          <w:rFonts w:ascii="Consolas" w:hAnsi="Consolas"/>
          <w:sz w:val="18"/>
        </w:rPr>
        <w:t>d2 docs/diagramas-d2/01-casos-de-uso.d2 docs/diagramas-d2/01-casos-de-uso.svg</w:t>
      </w:r>
    </w:p>
    <w:p>
      <w:pPr>
        <w:spacing w:after="140" w:line="269" w:lineRule="auto"/>
      </w:pPr>
      <w:r>
        <w:t>Compile cada archivo a SVG o PNG e inserte el resultado en el marcador con el mismo número. SVG suele conservar mejor la nitidez; PNG es una alternativa si Word o su destino de publicación lo requieren. Los seis archivos se listan también en docs/diagramas-d2/README.md.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19"/>
              </w:rPr>
              <w:t>Marcador Word</w:t>
            </w:r>
          </w:p>
        </w:tc>
        <w:tc>
          <w:tcPr>
            <w:tcW w:type="dxa" w:w="4608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19"/>
              </w:rPr>
              <w:t>Fuente D2</w:t>
            </w:r>
          </w:p>
        </w:tc>
        <w:tc>
          <w:tcPr>
            <w:tcW w:type="dxa" w:w="2664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/>
                <w:color w:val="FFFFFF"/>
                <w:sz w:val="19"/>
              </w:rPr>
              <w:t>Vista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Diagrama 1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01-casos-de-uso.d2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Casos de uso</w:t>
            </w:r>
          </w:p>
        </w:tc>
      </w:tr>
      <w:tr>
        <w:tc>
          <w:tcPr>
            <w:tcW w:type="dxa" w:w="2088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Diagrama 2</w:t>
            </w:r>
          </w:p>
        </w:tc>
        <w:tc>
          <w:tcPr>
            <w:tcW w:type="dxa" w:w="4608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02-modelo-dominio-y-datos.d2</w:t>
            </w:r>
          </w:p>
        </w:tc>
        <w:tc>
          <w:tcPr>
            <w:tcW w:type="dxa" w:w="2664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Modelo de dominio y datos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Diagrama 3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03-componentes.d2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Componentes</w:t>
            </w:r>
          </w:p>
        </w:tc>
      </w:tr>
      <w:tr>
        <w:tc>
          <w:tcPr>
            <w:tcW w:type="dxa" w:w="2088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Diagrama 4</w:t>
            </w:r>
          </w:p>
        </w:tc>
        <w:tc>
          <w:tcPr>
            <w:tcW w:type="dxa" w:w="4608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04-secuencia-ejecucion-submission.d2</w:t>
            </w:r>
          </w:p>
        </w:tc>
        <w:tc>
          <w:tcPr>
            <w:tcW w:type="dxa" w:w="2664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Secuencia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Diagrama 5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05-estados-del-intento-y-submission.d2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Estados</w:t>
            </w:r>
          </w:p>
        </w:tc>
      </w:tr>
      <w:tr>
        <w:tc>
          <w:tcPr>
            <w:tcW w:type="dxa" w:w="2088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Diagrama 6</w:t>
            </w:r>
          </w:p>
        </w:tc>
        <w:tc>
          <w:tcPr>
            <w:tcW w:type="dxa" w:w="4608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06-despliegue-aws.d2</w:t>
            </w:r>
          </w:p>
        </w:tc>
        <w:tc>
          <w:tcPr>
            <w:tcW w:type="dxa" w:w="2664"/>
            <w:shd w:fill="F3F7F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b w:val="0"/>
                <w:sz w:val="19"/>
              </w:rPr>
              <w:t>Despliegue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color w:val="000000"/>
        </w:rPr>
        <w:t>7 Límites actuales y siguientes mejoras</w:t>
      </w:r>
    </w:p>
    <w:p>
      <w:pPr>
        <w:spacing w:after="140" w:line="269" w:lineRule="auto"/>
      </w:pPr>
      <w:r>
        <w:t>La infraestructura de producción está planteada como demostración de bajo coste y no incluye Multi-AZ, balanceador, RDS Proxy, NAT Gateway ni una instancia privada de Judge0. El README también advierte que las credenciales de seed son exclusivas de desarrollo y que la cuenta administrativa de producción debe crearse con un mecanismo privado y un JWT_SECRET robusto.</w:t>
      </w:r>
    </w:p>
    <w:p>
      <w:pPr>
        <w:pStyle w:val="ListBullet"/>
        <w:spacing w:after="60"/>
      </w:pPr>
      <w:r>
        <w:t>Definir auditoría de eventos y métricas operativas para ejecuciones, errores del proveedor y tiempos de respuesta.</w:t>
      </w:r>
    </w:p>
    <w:p>
      <w:pPr>
        <w:pStyle w:val="ListBullet"/>
        <w:spacing w:after="60"/>
      </w:pPr>
      <w:r>
        <w:t>Evaluar un Judge0 privado o proveedor equivalente si aumentan requisitos de aislamiento, capacidad o disponibilidad.</w:t>
      </w:r>
    </w:p>
    <w:p>
      <w:pPr>
        <w:pStyle w:val="ListBullet"/>
        <w:spacing w:after="60"/>
      </w:pPr>
      <w:r>
        <w:t>Agregar pruebas automatizadas de dominio y contratos además de los scripts actuales de verificación de endpoints y ejecución.</w:t>
      </w:r>
    </w:p>
    <w:p>
      <w:pPr>
        <w:pStyle w:val="ListBullet"/>
        <w:spacing w:after="60"/>
      </w:pPr>
      <w:r>
        <w:t>Acordar la evolución de AssessmentResult frente al flujo basado en AssessmentAttempt para evitar modelos paralelos innecesarios.</w:t>
      </w:r>
    </w:p>
    <w:p>
      <w:pPr>
        <w:pStyle w:val="Heading1"/>
        <w:spacing w:before="280" w:after="120"/>
      </w:pPr>
      <w:r>
        <w:rPr>
          <w:color w:val="000000"/>
        </w:rPr>
        <w:t>Anexo A Evidencia consultada</w:t>
      </w:r>
    </w:p>
    <w:p>
      <w:pPr>
        <w:spacing w:after="140" w:line="269" w:lineRule="auto"/>
      </w:pPr>
      <w:r>
        <w:t>La documentación se elaboró a partir de README.md, apps/api/prisma/schema.prisma, módulos y casos de uso de NestJS, rutas React/Vite, docker-compose.yml e infraestructura/terraform. Los nombres de las entidades, límites y flujos citados reflejan ese estado de implementación.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Estado documentado: 20 de septiembre de 2026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TECHNICAL ASSESSMENT PLATFORM  | 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