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2464" w14:textId="4E89247F" w:rsidR="00537ACB" w:rsidRDefault="00E017CE" w:rsidP="00E017CE">
      <w:pPr>
        <w:jc w:val="center"/>
        <w:rPr>
          <w:b/>
          <w:bCs/>
          <w:sz w:val="32"/>
          <w:szCs w:val="32"/>
          <w:lang w:val="es-MX"/>
        </w:rPr>
      </w:pPr>
      <w:r w:rsidRPr="00E017CE">
        <w:rPr>
          <w:b/>
          <w:bCs/>
          <w:sz w:val="36"/>
          <w:szCs w:val="36"/>
          <w:lang w:val="es-MX"/>
        </w:rPr>
        <w:t>Datos Areguá</w:t>
      </w:r>
    </w:p>
    <w:p w14:paraId="7E49F4A0" w14:textId="6A1E9519" w:rsidR="00E017CE" w:rsidRDefault="009A4534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el 35,9% tiene un salario de entre 1 a 2 Millones. Un 24,1% tiene un rango salarial de 500 a 1 Millón de Gs, lo cual nos indica que el mayor porcentaje se reúne entre los salarios de 500 a 2 Millones de Gs.</w:t>
      </w:r>
    </w:p>
    <w:p w14:paraId="324AD678" w14:textId="2989B495" w:rsidR="009A4534" w:rsidRDefault="009A4534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mc:AlternateContent>
          <mc:Choice Requires="cx2"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79C5D0B5" wp14:editId="15D8F0B4">
                <wp:extent cx="6858000" cy="3876040"/>
                <wp:effectExtent l="0" t="0" r="0" b="10160"/>
                <wp:docPr id="1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569E9D-5C5B-4D00-F877-753243E0D04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>
                          <a:extLst>
                            <a:ext uri="{FF2B5EF4-FFF2-40B4-BE49-F238E27FC236}">
                              <a16:creationId xmlns:a16="http://schemas.microsoft.com/office/drawing/2014/main" id="{04569E9D-5C5B-4D00-F877-753243E0D04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7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E17306" w14:textId="3E067E2D" w:rsidR="00F33F82" w:rsidRDefault="00F33F82" w:rsidP="00E017CE">
      <w:pPr>
        <w:jc w:val="both"/>
        <w:rPr>
          <w:sz w:val="28"/>
          <w:szCs w:val="28"/>
          <w:lang w:val="es-MX"/>
        </w:rPr>
      </w:pPr>
    </w:p>
    <w:p w14:paraId="1A236BC0" w14:textId="4E88CDDC" w:rsidR="00F33F82" w:rsidRDefault="00646F0A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Podemos observar que tenemos mayor presencia femenina en 5 de las 6 columnas.</w:t>
      </w:r>
    </w:p>
    <w:p w14:paraId="714E57F2" w14:textId="4972233D" w:rsidR="00646F0A" w:rsidRDefault="00646F0A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8DCDB47" wp14:editId="73B4FA04">
            <wp:extent cx="6858000" cy="3784600"/>
            <wp:effectExtent l="0" t="0" r="0" b="635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FB2AE8C-3B8F-A018-9BEE-9F8513F15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BEA544" w14:textId="3ED6EDD5" w:rsidR="00646F0A" w:rsidRDefault="00646F0A" w:rsidP="00E017CE">
      <w:pPr>
        <w:jc w:val="both"/>
        <w:rPr>
          <w:sz w:val="28"/>
          <w:szCs w:val="28"/>
          <w:lang w:val="es-MX"/>
        </w:rPr>
      </w:pPr>
    </w:p>
    <w:p w14:paraId="566ECCD5" w14:textId="42F5D61C" w:rsidR="00646F0A" w:rsidRDefault="007F60D9" w:rsidP="00E017CE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observa que el 74,7 de las personas que aprendieron el oficio de la alfarería lo hicieron a través de Herencia Familiar.</w:t>
      </w:r>
    </w:p>
    <w:p w14:paraId="6C23D3AD" w14:textId="6EE1DD4E" w:rsidR="007F60D9" w:rsidRDefault="007F60D9" w:rsidP="00E017CE">
      <w:pPr>
        <w:jc w:val="both"/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3D82647A" wp14:editId="2DC68C75">
            <wp:extent cx="6858000" cy="3615055"/>
            <wp:effectExtent l="0" t="0" r="0" b="44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6537651-C020-B5B7-91B2-1B5DB392FD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F3E83A" w14:textId="4D20F2AE" w:rsidR="007F60D9" w:rsidRDefault="007F60D9" w:rsidP="00E017CE">
      <w:pPr>
        <w:jc w:val="both"/>
        <w:rPr>
          <w:sz w:val="28"/>
          <w:szCs w:val="28"/>
          <w:lang w:val="es-MX"/>
        </w:rPr>
      </w:pPr>
    </w:p>
    <w:p w14:paraId="040ACF7C" w14:textId="77777777" w:rsidR="007F60D9" w:rsidRPr="00E017CE" w:rsidRDefault="007F60D9" w:rsidP="00E017CE">
      <w:pPr>
        <w:jc w:val="both"/>
        <w:rPr>
          <w:sz w:val="28"/>
          <w:szCs w:val="28"/>
          <w:lang w:val="es-MX"/>
        </w:rPr>
      </w:pPr>
    </w:p>
    <w:sectPr w:rsidR="007F60D9" w:rsidRPr="00E017CE" w:rsidSect="00BA6B5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53"/>
    <w:rsid w:val="000472E0"/>
    <w:rsid w:val="000D40A3"/>
    <w:rsid w:val="001B0D5A"/>
    <w:rsid w:val="0023241E"/>
    <w:rsid w:val="00344181"/>
    <w:rsid w:val="00537ACB"/>
    <w:rsid w:val="00646F0A"/>
    <w:rsid w:val="0076141F"/>
    <w:rsid w:val="0079773F"/>
    <w:rsid w:val="007F60D9"/>
    <w:rsid w:val="00910D0F"/>
    <w:rsid w:val="009342C3"/>
    <w:rsid w:val="00963BC6"/>
    <w:rsid w:val="009759C3"/>
    <w:rsid w:val="00984A56"/>
    <w:rsid w:val="00993D0B"/>
    <w:rsid w:val="009A4534"/>
    <w:rsid w:val="00AC52AC"/>
    <w:rsid w:val="00B33F38"/>
    <w:rsid w:val="00B6756C"/>
    <w:rsid w:val="00BA6B53"/>
    <w:rsid w:val="00BD26BE"/>
    <w:rsid w:val="00BE073F"/>
    <w:rsid w:val="00CB2EC4"/>
    <w:rsid w:val="00CC58C9"/>
    <w:rsid w:val="00D10993"/>
    <w:rsid w:val="00D715B0"/>
    <w:rsid w:val="00E017CE"/>
    <w:rsid w:val="00E21092"/>
    <w:rsid w:val="00F22A26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61B"/>
  <w15:chartTrackingRefBased/>
  <w15:docId w15:val="{EBEE589C-C15C-4548-B51C-A2F78574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%20LATITUDE\Documents\Proyectos\ruta_alfareria_analisis\censo%20aregu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DELL%20LATITUDE\Downloads\censo%20aregu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pivotSource>
    <c:name>[censo aregua.xlsx]Recuento_S_G!TablaDinámica1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Recuento de Ganancias</a:t>
            </a:r>
            <a:r>
              <a:rPr lang="en-US" baseline="0"/>
              <a:t> por Género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1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2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3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4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s-PY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6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7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8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9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20"/>
        <c:spPr>
          <a:solidFill>
            <a:srgbClr val="00B05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Recuento_S_G!$B$3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6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BDA-433B-B56E-1BD10E7D8F10}"/>
              </c:ext>
            </c:extLst>
          </c:dPt>
          <c:dPt>
            <c:idx val="7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BDA-433B-B56E-1BD10E7D8F10}"/>
              </c:ext>
            </c:extLst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BDA-433B-B56E-1BD10E7D8F10}"/>
              </c:ext>
            </c:extLst>
          </c:dPt>
          <c:dPt>
            <c:idx val="9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BDA-433B-B56E-1BD10E7D8F10}"/>
              </c:ext>
            </c:extLst>
          </c:dPt>
          <c:dPt>
            <c:idx val="1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BDA-433B-B56E-1BD10E7D8F10}"/>
              </c:ext>
            </c:extLst>
          </c:dPt>
          <c:dPt>
            <c:idx val="11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4BDA-433B-B56E-1BD10E7D8F1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Recuento_S_G!$A$4:$A$18</c:f>
              <c:multiLvlStrCache>
                <c:ptCount val="12"/>
                <c:lvl>
                  <c:pt idx="0">
                    <c:v>Mas de 5.000.000 Gs</c:v>
                  </c:pt>
                  <c:pt idx="1">
                    <c:v>4.000.000 Gs a 5.000.000 Gs</c:v>
                  </c:pt>
                  <c:pt idx="2">
                    <c:v>1.000.000 Gs a 2.000.000 Gs</c:v>
                  </c:pt>
                  <c:pt idx="3">
                    <c:v>500.000 Gs a 1.000.000 Gs</c:v>
                  </c:pt>
                  <c:pt idx="4">
                    <c:v>Menos de 500.000 Gs</c:v>
                  </c:pt>
                  <c:pt idx="5">
                    <c:v>No Respondio</c:v>
                  </c:pt>
                  <c:pt idx="6">
                    <c:v>Mas de 5.000.000 Gs</c:v>
                  </c:pt>
                  <c:pt idx="7">
                    <c:v>4.000.000 Gs a 5.000.000 Gs</c:v>
                  </c:pt>
                  <c:pt idx="8">
                    <c:v>1.000.000 Gs a 2.000.000 Gs</c:v>
                  </c:pt>
                  <c:pt idx="9">
                    <c:v>500.000 Gs a 1.000.000 Gs</c:v>
                  </c:pt>
                  <c:pt idx="10">
                    <c:v>Menos de 500.000 Gs</c:v>
                  </c:pt>
                  <c:pt idx="11">
                    <c:v>No Respondio</c:v>
                  </c:pt>
                </c:lvl>
                <c:lvl>
                  <c:pt idx="0">
                    <c:v>FEMENINO</c:v>
                  </c:pt>
                  <c:pt idx="6">
                    <c:v>MASCULINO</c:v>
                  </c:pt>
                </c:lvl>
              </c:multiLvlStrCache>
            </c:multiLvlStrRef>
          </c:cat>
          <c:val>
            <c:numRef>
              <c:f>Recuento_S_G!$B$4:$B$18</c:f>
              <c:numCache>
                <c:formatCode>General</c:formatCode>
                <c:ptCount val="12"/>
                <c:pt idx="0">
                  <c:v>12</c:v>
                </c:pt>
                <c:pt idx="1">
                  <c:v>24</c:v>
                </c:pt>
                <c:pt idx="2">
                  <c:v>61</c:v>
                </c:pt>
                <c:pt idx="3">
                  <c:v>56</c:v>
                </c:pt>
                <c:pt idx="4">
                  <c:v>68</c:v>
                </c:pt>
                <c:pt idx="5">
                  <c:v>5</c:v>
                </c:pt>
                <c:pt idx="6">
                  <c:v>11</c:v>
                </c:pt>
                <c:pt idx="7">
                  <c:v>23</c:v>
                </c:pt>
                <c:pt idx="8">
                  <c:v>95</c:v>
                </c:pt>
                <c:pt idx="9">
                  <c:v>49</c:v>
                </c:pt>
                <c:pt idx="10">
                  <c:v>28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4BDA-433B-B56E-1BD10E7D8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948419120"/>
        <c:axId val="1806830656"/>
      </c:barChart>
      <c:catAx>
        <c:axId val="194841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806830656"/>
        <c:crosses val="autoZero"/>
        <c:auto val="1"/>
        <c:lblAlgn val="ctr"/>
        <c:lblOffset val="100"/>
        <c:noMultiLvlLbl val="0"/>
      </c:catAx>
      <c:valAx>
        <c:axId val="1806830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194841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Aprendio Oficio de...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Y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Aprendio_de!$B$11</c:f>
              <c:strCache>
                <c:ptCount val="1"/>
                <c:pt idx="0">
                  <c:v>Promedio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237-4053-9CDC-A7AEA874A519}"/>
              </c:ext>
            </c:extLst>
          </c:dPt>
          <c:dPt>
            <c:idx val="1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237-4053-9CDC-A7AEA874A519}"/>
              </c:ext>
            </c:extLst>
          </c:dPt>
          <c:dPt>
            <c:idx val="2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237-4053-9CDC-A7AEA874A519}"/>
              </c:ext>
            </c:extLst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237-4053-9CDC-A7AEA874A519}"/>
              </c:ext>
            </c:extLst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237-4053-9CDC-A7AEA874A51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P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Aprendio_de!$A$12:$A$16</c:f>
              <c:strCache>
                <c:ptCount val="5"/>
                <c:pt idx="0">
                  <c:v>Herencia Familiar</c:v>
                </c:pt>
                <c:pt idx="1">
                  <c:v>Autodidacta</c:v>
                </c:pt>
                <c:pt idx="2">
                  <c:v>Otro</c:v>
                </c:pt>
                <c:pt idx="3">
                  <c:v>Curso o taller</c:v>
                </c:pt>
                <c:pt idx="4">
                  <c:v>No Respondio</c:v>
                </c:pt>
              </c:strCache>
            </c:strRef>
          </c:cat>
          <c:val>
            <c:numRef>
              <c:f>Aprendio_de!$B$12:$B$16</c:f>
              <c:numCache>
                <c:formatCode>0.0</c:formatCode>
                <c:ptCount val="5"/>
                <c:pt idx="0">
                  <c:v>74.712643678160916</c:v>
                </c:pt>
                <c:pt idx="1">
                  <c:v>18.850574712643677</c:v>
                </c:pt>
                <c:pt idx="2">
                  <c:v>2.9885057471264367</c:v>
                </c:pt>
                <c:pt idx="3">
                  <c:v>1.8390804597701149</c:v>
                </c:pt>
                <c:pt idx="4">
                  <c:v>1.6091954022988506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237-4053-9CDC-A7AEA874A5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2144297504"/>
        <c:axId val="2136672928"/>
      </c:barChart>
      <c:catAx>
        <c:axId val="2144297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36672928"/>
        <c:crosses val="autoZero"/>
        <c:auto val="1"/>
        <c:lblAlgn val="ctr"/>
        <c:lblOffset val="100"/>
        <c:noMultiLvlLbl val="0"/>
      </c:catAx>
      <c:valAx>
        <c:axId val="2136672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s-PY"/>
          </a:p>
        </c:txPr>
        <c:crossAx val="214429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Y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Rango_Salarial!$A$2:$A$7</cx:f>
        <cx:lvl ptCount="6">
          <cx:pt idx="0">Más de 5.000.000 Gs</cx:pt>
          <cx:pt idx="1">4.000.000 Gs a 5.000.000 Gs</cx:pt>
          <cx:pt idx="2">1.000.000 Gs a 2.000.000 Gs</cx:pt>
          <cx:pt idx="3">500.000 Gs a 1.000.000 Gs</cx:pt>
          <cx:pt idx="4">Menos de 500.000 Gs</cx:pt>
          <cx:pt idx="5">No Respondio</cx:pt>
        </cx:lvl>
      </cx:strDim>
      <cx:numDim type="val">
        <cx:f>Rango_Salarial!$B$2:$B$7</cx:f>
        <cx:lvl ptCount="6" formatCode="General">
          <cx:pt idx="0">5.2999999999999998</cx:pt>
          <cx:pt idx="1">10.800000000000001</cx:pt>
          <cx:pt idx="2">35.899999999999999</cx:pt>
          <cx:pt idx="3">24.100000000000001</cx:pt>
          <cx:pt idx="4">22.100000000000001</cx:pt>
          <cx:pt idx="5">1.8</cx:pt>
        </cx:lvl>
      </cx:numDim>
    </cx:data>
  </cx:chartData>
  <cx:chart>
    <cx:title pos="t" align="ctr" overlay="0">
      <cx:tx>
        <cx:txData>
          <cx:v>Promedio de Ganancias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chemeClr val="bg1"/>
              </a:solidFill>
            </a:defRPr>
          </a:pPr>
          <a:r>
            <a:rPr lang="es-ES" sz="1600" b="1" i="0" u="none" strike="noStrike" spc="100" baseline="0">
              <a:solidFill>
                <a:schemeClr val="bg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Promedio de Ganancias</a:t>
          </a:r>
        </a:p>
      </cx:txPr>
    </cx:title>
    <cx:plotArea>
      <cx:plotAreaRegion>
        <cx:series layoutId="funnel" uniqueId="{F4A89445-1487-44F5-A2CB-CDCA4324F000}">
          <cx:tx>
            <cx:txData>
              <cx:f>Rango_Salarial!$B$1</cx:f>
              <cx:v>Promedio</cx:v>
            </cx:txData>
          </cx:tx>
          <cx:spPr>
            <a:ln>
              <a:noFill/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000" b="1">
                    <a:solidFill>
                      <a:schemeClr val="tx1"/>
                    </a:solidFill>
                  </a:defRPr>
                </a:pPr>
                <a:endParaRPr lang="es-ES" sz="1000" b="1" i="0" u="none" strike="noStrike" baseline="0">
                  <a:solidFill>
                    <a:schemeClr val="tx1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5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00" b="1">
                <a:solidFill>
                  <a:schemeClr val="bg1"/>
                </a:solidFill>
              </a:defRPr>
            </a:pPr>
            <a:endParaRPr lang="es-ES" sz="1000" b="1" i="0" u="none" strike="noStrike" baseline="0">
              <a:solidFill>
                <a:schemeClr val="bg1"/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2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2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Cristaldo</dc:creator>
  <cp:keywords/>
  <dc:description/>
  <cp:lastModifiedBy>Cristian Cristaldo</cp:lastModifiedBy>
  <cp:revision>6</cp:revision>
  <dcterms:created xsi:type="dcterms:W3CDTF">2023-03-15T20:52:00Z</dcterms:created>
  <dcterms:modified xsi:type="dcterms:W3CDTF">2023-03-27T14:09:00Z</dcterms:modified>
</cp:coreProperties>
</file>