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avsyqtmfjp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line="592" w:lineRule="auto"/>
        <w:jc w:val="center"/>
        <w:rPr>
          <w:rFonts w:ascii="Calibri" w:cs="Calibri" w:eastAsia="Calibri" w:hAnsi="Calibri"/>
          <w:b w:val="1"/>
          <w:bCs w:val="1"/>
          <w:sz w:val="49"/>
          <w:szCs w:val="49"/>
        </w:rPr>
      </w:pPr>
      <w:r w:rsidDel="00000000" w:rsidR="00000000" w:rsidRPr="00000000">
        <w:rPr>
          <w:rFonts w:ascii="Calibri" w:cs="Calibri" w:eastAsia="Calibri" w:hAnsi="Calibri"/>
          <w:b w:val="1"/>
          <w:bCs w:val="1"/>
          <w:sz w:val="49"/>
          <w:szCs w:val="49"/>
          <w:rtl w:val="0"/>
        </w:rPr>
        <w:t xml:space="preserve">Universidad Nacional de Colombia</w:t>
      </w:r>
    </w:p>
    <w:p w:rsidR="00000000" w:rsidDel="00000000" w:rsidP="00000000" w:rsidRDefault="00000000" w:rsidRPr="00000000" w14:paraId="00000003">
      <w:pPr>
        <w:widowControl w:val="0"/>
        <w:spacing w:before="10"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Sede Bogotá</w:t>
      </w:r>
    </w:p>
    <w:p w:rsidR="00000000" w:rsidDel="00000000" w:rsidP="00000000" w:rsidRDefault="00000000" w:rsidRPr="00000000" w14:paraId="00000004">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5">
      <w:pPr>
        <w:widowControl w:val="0"/>
        <w:spacing w:before="72"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6">
      <w:pPr>
        <w:widowControl w:val="0"/>
        <w:spacing w:before="227" w:line="240" w:lineRule="auto"/>
        <w:rPr>
          <w:rFonts w:ascii="Calibri" w:cs="Calibri" w:eastAsia="Calibri" w:hAnsi="Calibri"/>
          <w:b w:val="1"/>
          <w:bCs w:val="1"/>
          <w:sz w:val="34"/>
          <w:szCs w:val="3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1336838</wp:posOffset>
            </wp:positionH>
            <wp:positionV relativeFrom="paragraph">
              <wp:posOffset>19050</wp:posOffset>
            </wp:positionV>
            <wp:extent cx="3052763" cy="3196124"/>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052763" cy="3196124"/>
                    </a:xfrm>
                    <a:prstGeom prst="rect"/>
                    <a:ln/>
                  </pic:spPr>
                </pic:pic>
              </a:graphicData>
            </a:graphic>
          </wp:anchor>
        </w:drawing>
      </w:r>
    </w:p>
    <w:p w:rsidR="00000000" w:rsidDel="00000000" w:rsidP="00000000" w:rsidRDefault="00000000" w:rsidRPr="00000000" w14:paraId="00000007">
      <w:pPr>
        <w:widowControl w:val="0"/>
        <w:spacing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PROPUESTA</w:t>
      </w:r>
    </w:p>
    <w:p w:rsidR="00000000" w:rsidDel="00000000" w:rsidP="00000000" w:rsidRDefault="00000000" w:rsidRPr="00000000" w14:paraId="00000008">
      <w:pPr>
        <w:widowControl w:val="0"/>
        <w:spacing w:before="1" w:line="240" w:lineRule="auto"/>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Facultad de Ingeniería</w:t>
      </w:r>
    </w:p>
    <w:p w:rsidR="00000000" w:rsidDel="00000000" w:rsidP="00000000" w:rsidRDefault="00000000" w:rsidRPr="00000000" w14:paraId="0000000A">
      <w:pPr>
        <w:widowControl w:val="0"/>
        <w:spacing w:before="98" w:line="240" w:lineRule="auto"/>
        <w:jc w:val="center"/>
        <w:rPr>
          <w:rFonts w:ascii="Calibri" w:cs="Calibri" w:eastAsia="Calibri" w:hAnsi="Calibri"/>
          <w:sz w:val="24"/>
          <w:szCs w:val="24"/>
        </w:rPr>
      </w:pPr>
      <w:r w:rsidDel="00000000" w:rsidR="00000000" w:rsidRPr="00000000">
        <w:rPr>
          <w:rFonts w:ascii="Calibri" w:cs="Calibri" w:eastAsia="Calibri" w:hAnsi="Calibri"/>
          <w:sz w:val="28"/>
          <w:szCs w:val="28"/>
          <w:rtl w:val="0"/>
        </w:rPr>
        <w:t xml:space="preserve">Modelos y simulación</w:t>
      </w:r>
      <w:r w:rsidDel="00000000" w:rsidR="00000000" w:rsidRPr="00000000">
        <w:rPr>
          <w:rtl w:val="0"/>
        </w:rPr>
      </w:r>
    </w:p>
    <w:p w:rsidR="00000000" w:rsidDel="00000000" w:rsidP="00000000" w:rsidRDefault="00000000" w:rsidRPr="00000000" w14:paraId="0000000B">
      <w:pPr>
        <w:widowControl w:val="0"/>
        <w:spacing w:before="20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widowControl w:val="0"/>
        <w:spacing w:before="203"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widowControl w:val="0"/>
        <w:spacing w:line="228" w:lineRule="auto"/>
        <w:ind w:left="1537" w:right="1537"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Santiago Andres Rodriguez Rojas C.C 1001096496 Martin Andres Toro Henao C.C 1034656926 Cristian Fabian Cubillos Mora C.C 1025140333 Angie Carolina Sibaja Jaramillo C.C 1032503180</w:t>
      </w:r>
    </w:p>
    <w:p w:rsidR="00000000" w:rsidDel="00000000" w:rsidP="00000000" w:rsidRDefault="00000000" w:rsidRPr="00000000" w14:paraId="0000000E">
      <w:pPr>
        <w:pStyle w:val="Title"/>
        <w:keepNext w:val="0"/>
        <w:keepLines w:val="0"/>
        <w:widowControl w:val="0"/>
        <w:spacing w:after="0" w:line="240" w:lineRule="auto"/>
        <w:jc w:val="center"/>
        <w:rPr>
          <w:rFonts w:ascii="Calibri" w:cs="Calibri" w:eastAsia="Calibri" w:hAnsi="Calibri"/>
          <w:b w:val="1"/>
          <w:bCs w:val="1"/>
          <w:sz w:val="49"/>
          <w:szCs w:val="49"/>
        </w:rPr>
      </w:pPr>
      <w:bookmarkStart w:colFirst="0" w:colLast="0" w:name="_fgu53nlrrgix" w:id="1"/>
      <w:bookmarkEnd w:id="1"/>
      <w:r w:rsidDel="00000000" w:rsidR="00000000" w:rsidRPr="00000000">
        <w:rPr>
          <w:rtl w:val="0"/>
        </w:rPr>
      </w:r>
    </w:p>
    <w:p w:rsidR="00000000" w:rsidDel="00000000" w:rsidP="00000000" w:rsidRDefault="00000000" w:rsidRPr="00000000" w14:paraId="0000000F">
      <w:pPr>
        <w:pStyle w:val="Title"/>
        <w:keepNext w:val="0"/>
        <w:keepLines w:val="0"/>
        <w:widowControl w:val="0"/>
        <w:spacing w:after="0" w:line="240" w:lineRule="auto"/>
        <w:jc w:val="center"/>
        <w:rPr>
          <w:rFonts w:ascii="Times New Roman" w:cs="Times New Roman" w:eastAsia="Times New Roman" w:hAnsi="Times New Roman"/>
          <w:b w:val="1"/>
          <w:bCs w:val="1"/>
          <w:sz w:val="30"/>
          <w:szCs w:val="30"/>
        </w:rPr>
      </w:pPr>
      <w:bookmarkStart w:colFirst="0" w:colLast="0" w:name="_pqgka13lpal" w:id="2"/>
      <w:bookmarkEnd w:id="2"/>
      <w:r w:rsidDel="00000000" w:rsidR="00000000" w:rsidRPr="00000000">
        <w:rPr>
          <w:rFonts w:ascii="Calibri" w:cs="Calibri" w:eastAsia="Calibri" w:hAnsi="Calibri"/>
          <w:b w:val="1"/>
          <w:bCs w:val="1"/>
          <w:sz w:val="49"/>
          <w:szCs w:val="49"/>
          <w:rtl w:val="0"/>
        </w:rPr>
        <w:t xml:space="preserve">2026</w:t>
      </w:r>
      <w:r w:rsidDel="00000000" w:rsidR="00000000" w:rsidRPr="00000000">
        <w:rPr>
          <w:rtl w:val="0"/>
        </w:rPr>
      </w:r>
    </w:p>
    <w:p w:rsidR="00000000" w:rsidDel="00000000" w:rsidP="00000000" w:rsidRDefault="00000000" w:rsidRPr="00000000" w14:paraId="00000010">
      <w:pPr>
        <w:pStyle w:val="Heading2"/>
        <w:keepNext w:val="0"/>
        <w:keepLines w:val="0"/>
        <w:numPr>
          <w:ilvl w:val="0"/>
          <w:numId w:val="1"/>
        </w:numPr>
        <w:spacing w:after="80" w:lineRule="auto"/>
        <w:ind w:left="720" w:hanging="360"/>
        <w:jc w:val="center"/>
        <w:rPr>
          <w:rFonts w:ascii="Times New Roman" w:cs="Times New Roman" w:eastAsia="Times New Roman" w:hAnsi="Times New Roman"/>
          <w:b w:val="1"/>
          <w:bCs w:val="1"/>
          <w:sz w:val="30"/>
          <w:szCs w:val="30"/>
        </w:rPr>
      </w:pPr>
      <w:bookmarkStart w:colFirst="0" w:colLast="0" w:name="_qvpl0jvh7ivs" w:id="3"/>
      <w:bookmarkEnd w:id="3"/>
      <w:r w:rsidDel="00000000" w:rsidR="00000000" w:rsidRPr="00000000">
        <w:rPr>
          <w:rFonts w:ascii="Times New Roman" w:cs="Times New Roman" w:eastAsia="Times New Roman" w:hAnsi="Times New Roman"/>
          <w:b w:val="1"/>
          <w:bCs w:val="1"/>
          <w:sz w:val="30"/>
          <w:szCs w:val="30"/>
          <w:rtl w:val="0"/>
        </w:rPr>
        <w:t xml:space="preserve">Introducción-Problemática</w:t>
      </w:r>
      <w:r w:rsidDel="00000000" w:rsidR="00000000" w:rsidRPr="00000000">
        <w:rPr>
          <w:rtl w:val="0"/>
        </w:rPr>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Colombia, la distribución y entrega de medicamentos ha alcanzado puntos críticos que se han evidenciado desde el cierre del 2025 y a lo largo del presente año. Esta situación ha sido influenciada por diferentes factores, entre ellos las intervenciones y la desarticulación entre diversas EPS y gestores farmacéuticos, lo que ha provocado un cuello de botella logístico en los puntos de atención física.</w:t>
        <w:br w:type="textWrapping"/>
        <w:t xml:space="preserve">Actualmente, se presenta un incremento considerable en las quejas y tutelas ante la Superintendencia de Salud. En promedio, se registran alrededor de 3 quejas por minuto relacionadas con la falta de medicamentos o con los largos tiempos de espera en los puntos de distribución autorizados. Esto representa aproximadamente el 36,8% de las tutelas en el área de la salud, lo que evidencia una alta frecuencia en el incumplimiento de un servicio esencial.</w:t>
        <w:br w:type="textWrapping"/>
        <w:t xml:space="preserve">Esta problemática se vuelve aún más crítica al considerar a los pacientes con enfermedades crónicas o de alta gravedad. Se han presentado casos como el fallecimiento de un niño de 7 años que se encontraba a la espera de medicamentos para tratar la hemofilia, lo cual refleja el impacto real que puede tener esta situación.</w:t>
        <w:br w:type="textWrapping"/>
        <w:t xml:space="preserve">Sin embargo, resulta importante mencionar que, según datos de la Superintendencia de Salud y entidades como el INVIMA (2025), solo cerca del 3% de los medicamentos en la cadena de distribución se encuentran en desabastecimiento. Esto permite evidenciar que el problema no radica únicamente en la producción, ya que, aunque este porcentaje representa una cantidad significativa, no es lo suficientemente alto como para explicar por sí solo la magnitud de la crisis.</w:t>
        <w:br w:type="textWrapping"/>
        <w:t xml:space="preserve">En este sentido, se puede inferir que gran parte de la problemática está asociada a fallas logísticas, operativas y de coordinación dentro del sistema de distribución, más que a la disponibilidad real de los medicamentos.</w:t>
      </w:r>
    </w:p>
    <w:p w:rsidR="00000000" w:rsidDel="00000000" w:rsidP="00000000" w:rsidRDefault="00000000" w:rsidRPr="00000000" w14:paraId="00000012">
      <w:pPr>
        <w:pStyle w:val="Subtitle"/>
        <w:jc w:val="center"/>
        <w:rPr/>
      </w:pPr>
      <w:bookmarkStart w:colFirst="0" w:colLast="0" w:name="_ytqk6ym9q3nr" w:id="4"/>
      <w:bookmarkEnd w:id="4"/>
      <w:r w:rsidDel="00000000" w:rsidR="00000000" w:rsidRPr="00000000">
        <w:rPr>
          <w:rFonts w:ascii="Times New Roman" w:cs="Times New Roman" w:eastAsia="Times New Roman" w:hAnsi="Times New Roman"/>
          <w:b w:val="1"/>
          <w:bCs w:val="1"/>
          <w:color w:val="000000"/>
          <w:rtl w:val="0"/>
        </w:rPr>
        <w:t xml:space="preserve">2. Justificación</w:t>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Teniendo en cuenta lo anterior, se ha tomado como objetivo observar y analizar la problemática desde los gestores farmacéuticos, ya que la evidencia de los datos sugiere que la problemática no solo radica en la disponibilidad de los productos sino en fallas logísticas, operativas y de coordinación dentro de la cadena de suministro, fallas las cuales incluyen tiempos de atención prolongados, sistemas de turnos ineficientes y errores en la gestión de inventarios.</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se vuelve necesario analizar el proceso de entrega desde un enfoque sistémico que permita analizar cuellos de botella y variables críticas que afectan el desempeño del servicio, con el objetivo de buscar las mejores alternativas para que se reduzca el deterioro en la salud de la población así como disminuir el aumento de la carga económica personal.</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 punto de vista cuantitativo, el análisis en el proceso de atención de una droguería se puede representar mediante un modelo de colas y la simulación de eventos discretos, en los que intervienen variables como la tasa de llegadas de usuarios, los tiempos en el servicio, la disponibilidad de inventario, lo cual permite medir indicadores como el tiempo de espera entre servicios, la longitud de las colas y las probabilidades de que una persona reciba su medicamento. </w:t>
      </w:r>
    </w:p>
    <w:p w:rsidR="00000000" w:rsidDel="00000000" w:rsidP="00000000" w:rsidRDefault="00000000" w:rsidRPr="00000000" w14:paraId="00000016">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Adicionalmente se puede evaluar mediante la simulación distintos escenarios sin necesidad de intervenir en el sistema real.</w:t>
        <w:br w:type="textWrapping"/>
        <w:t xml:space="preserve">El problema de la entrega de medicamentos puede entenderse como una falla en la optimización del sistema logístico y de atención al usuario.</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kopflroevaky" w:id="5"/>
      <w:bookmarkEnd w:id="5"/>
      <w:r w:rsidDel="00000000" w:rsidR="00000000" w:rsidRPr="00000000">
        <w:rPr>
          <w:rFonts w:ascii="Times New Roman" w:cs="Times New Roman" w:eastAsia="Times New Roman" w:hAnsi="Times New Roman"/>
          <w:b w:val="1"/>
          <w:bCs w:val="1"/>
          <w:color w:val="000000"/>
          <w:sz w:val="26"/>
          <w:szCs w:val="26"/>
          <w:rtl w:val="0"/>
        </w:rPr>
        <w:t xml:space="preserve">2.1. Enfoque cualitativo</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cualitativa, el problema involucra factores como experiencia del usuario, percepción del servicio, condiciones de salud del paciente, coordinación entre entidades. Además, cada usuario tiene necesidades distintas dependiendo de su condición médica, urgencia del medicamento y capacidad de acceso al sistema.</w:t>
      </w:r>
    </w:p>
    <w:p w:rsidR="00000000" w:rsidDel="00000000" w:rsidP="00000000" w:rsidRDefault="00000000" w:rsidRPr="00000000" w14:paraId="00000019">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48bkqlpx7evr" w:id="6"/>
      <w:bookmarkEnd w:id="6"/>
      <w:r w:rsidDel="00000000" w:rsidR="00000000" w:rsidRPr="00000000">
        <w:rPr>
          <w:rFonts w:ascii="Times New Roman" w:cs="Times New Roman" w:eastAsia="Times New Roman" w:hAnsi="Times New Roman"/>
          <w:b w:val="1"/>
          <w:bCs w:val="1"/>
          <w:color w:val="000000"/>
          <w:sz w:val="26"/>
          <w:szCs w:val="26"/>
          <w:rtl w:val="0"/>
        </w:rPr>
        <w:t xml:space="preserve">2.2. Enfoque cuantitativo</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cuantitativo, el sistema puede analizarse mediante variables medibles como tasa de llegada de usuarios, tiempo de atención, capacidad de servicio, disponibilidad de inventario, longitud de colas.</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permite modelar el sistema mediante teoría de colas y simulación de eventos discretos, evaluando indicadores como tiempo promedio de espera, probabilidad de recibir el medicamento, nivel de congestión del sistema.</w:t>
      </w:r>
    </w:p>
    <w:p w:rsidR="00000000" w:rsidDel="00000000" w:rsidP="00000000" w:rsidRDefault="00000000" w:rsidRPr="00000000" w14:paraId="0000001C">
      <w:pPr>
        <w:pStyle w:val="Subtitle"/>
        <w:rPr>
          <w:rFonts w:ascii="Times New Roman" w:cs="Times New Roman" w:eastAsia="Times New Roman" w:hAnsi="Times New Roman"/>
          <w:b w:val="1"/>
          <w:bCs w:val="1"/>
          <w:color w:val="000000"/>
        </w:rPr>
      </w:pPr>
      <w:bookmarkStart w:colFirst="0" w:colLast="0" w:name="_agenfn1tz73x" w:id="7"/>
      <w:bookmarkEnd w:id="7"/>
      <w:r w:rsidDel="00000000" w:rsidR="00000000" w:rsidRPr="00000000">
        <w:rPr>
          <w:rFonts w:ascii="Times New Roman" w:cs="Times New Roman" w:eastAsia="Times New Roman" w:hAnsi="Times New Roman"/>
          <w:b w:val="1"/>
          <w:bCs w:val="1"/>
          <w:color w:val="000000"/>
          <w:rtl w:val="0"/>
        </w:rPr>
        <w:t xml:space="preserve">3. Objetivos</w:t>
      </w:r>
    </w:p>
    <w:p w:rsidR="00000000" w:rsidDel="00000000" w:rsidP="00000000" w:rsidRDefault="00000000" w:rsidRPr="00000000" w14:paraId="000000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Mediante el planteamiento de un modelo de colas, se ha propuesto el estudio del comportamiento de un gestor farmacéutico de la cadena de farmacias Cruz Verde ubicado en: Puente Aranda - Zona IN</w:t>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Simulando los eventos discretos que se pueden observar con la distribución de los medicamentos y el actual sistema que se maneja en esta farmacia, para así desde un aspecto micro poder empezar a idear soluciones a las fallas sistemáticas que se han evidenciado en toda la cadena de suministro, pero enfocado principalmente en el último paso el cual es la entrega directa al consumidor final.</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tendrán en cuenta aspectos de variables macroeconómicas, políticas públicas ni el comportamiento de las entidades del sistema de salud, sin embargo se tiene como hipótesis que también se podrá ver el efecto indirecto de todas estas variables en la demanda y disponibilidad de los medicamentos mediante algunos parámetros ajustables en el modelo.</w:t>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del proyecto se limita al análisis y evaluación del sistema actual de entrega de medicamentos, así como la simulación de escenarios hipotéticos que permitan identificar posibles mejoras en la prestación del servicio, en este contexto, el presente estudio se enfocará específicamente en analizar el proceso de atención y entrega de medicamentos en el punto de dispensación, donde se materializan los principales cuellos de botella del sistema.</w:t>
      </w:r>
    </w:p>
    <w:p w:rsidR="00000000" w:rsidDel="00000000" w:rsidP="00000000" w:rsidRDefault="00000000" w:rsidRPr="00000000" w14:paraId="00000021">
      <w:pPr>
        <w:pStyle w:val="Heading2"/>
        <w:keepNext w:val="0"/>
        <w:keepLines w:val="0"/>
        <w:spacing w:after="80" w:lineRule="auto"/>
        <w:jc w:val="both"/>
        <w:rPr>
          <w:rFonts w:ascii="Times New Roman" w:cs="Times New Roman" w:eastAsia="Times New Roman" w:hAnsi="Times New Roman"/>
          <w:b w:val="1"/>
          <w:bCs w:val="1"/>
          <w:sz w:val="30"/>
          <w:szCs w:val="30"/>
        </w:rPr>
      </w:pPr>
      <w:bookmarkStart w:colFirst="0" w:colLast="0" w:name="_mbjctl9n6vg9" w:id="8"/>
      <w:bookmarkEnd w:id="8"/>
      <w:r w:rsidDel="00000000" w:rsidR="00000000" w:rsidRPr="00000000">
        <w:rPr>
          <w:rFonts w:ascii="Times New Roman" w:cs="Times New Roman" w:eastAsia="Times New Roman" w:hAnsi="Times New Roman"/>
          <w:b w:val="1"/>
          <w:bCs w:val="1"/>
          <w:sz w:val="30"/>
          <w:szCs w:val="30"/>
          <w:rtl w:val="0"/>
        </w:rPr>
        <w:t xml:space="preserve">4. Alcance</w:t>
      </w:r>
    </w:p>
    <w:p w:rsidR="00000000" w:rsidDel="00000000" w:rsidP="00000000" w:rsidRDefault="00000000" w:rsidRPr="00000000" w14:paraId="00000022">
      <w:pPr>
        <w:spacing w:after="240" w:before="240" w:lineRule="auto"/>
        <w:jc w:val="both"/>
        <w:rPr>
          <w:b w:val="1"/>
          <w:bCs w:val="1"/>
        </w:rPr>
        <w:sectPr>
          <w:headerReference r:id="rId7" w:type="default"/>
          <w:headerReference r:id="rId8" w:type="first"/>
          <w:footerReference r:id="rId9" w:type="default"/>
          <w:footerReference r:id="rId10" w:type="first"/>
          <w:type w:val="nextPage"/>
          <w:pgSz w:h="16834" w:w="11909" w:orient="portrait"/>
          <w:pgMar w:bottom="1440" w:top="1440" w:left="1440" w:right="1440" w:header="566.9291338582677" w:footer="566.9291338582677"/>
          <w:pgNumType w:start="1"/>
          <w:cols w:equalWidth="0" w:num="1">
            <w:col w:space="0" w:w="9025.5"/>
          </w:cols>
        </w:sectPr>
      </w:pPr>
      <w:r w:rsidDel="00000000" w:rsidR="00000000" w:rsidRPr="00000000">
        <w:rPr>
          <w:rFonts w:ascii="Times New Roman" w:cs="Times New Roman" w:eastAsia="Times New Roman" w:hAnsi="Times New Roman"/>
          <w:rtl w:val="0"/>
        </w:rPr>
        <w:t xml:space="preserve">El proyecto se enfoca en el análisis del proceso de entrega de medicamentos en un punto de dispensación específico, tomando como referencia un dispensario de la cadena Cruz Verde.</w:t>
        <w:br w:type="textWrapping"/>
        <w:t xml:space="preserve">Se analizarán variables operativas relacionadas con el proceso de atención, tales como tiempos de servicio, número de usuarios y disponibilidad de medicamentos.</w:t>
        <w:br w:type="textWrapping"/>
        <w:t xml:space="preserve">No se tendrán en cuenta variables macroeconómicas, políticas públicas ni el comportamiento general del sistema de salud. Sin embargo, se reconoce que estos factores pueden influir indirectamente en la demanda y disponibilidad, lo cual podrá reflejarse en los parámetros del modelo.</w:t>
        <w:br w:type="textWrapping"/>
        <w:t xml:space="preserve">En este sentido, el alcance del proyecto se limita al último eslabón de la cadena de suministro: la entrega directa al usuario final, donde se evidencian los principales cuellos de botella del sistema.</w:t>
      </w:r>
      <w:r w:rsidDel="00000000" w:rsidR="00000000" w:rsidRPr="00000000">
        <w:rPr>
          <w:rtl w:val="0"/>
        </w:rPr>
      </w:r>
    </w:p>
    <w:p w:rsidR="00000000" w:rsidDel="00000000" w:rsidP="00000000" w:rsidRDefault="00000000" w:rsidRPr="00000000" w14:paraId="00000023">
      <w:pPr>
        <w:pStyle w:val="Subtitle"/>
        <w:jc w:val="both"/>
        <w:rPr/>
      </w:pPr>
      <w:bookmarkStart w:colFirst="0" w:colLast="0" w:name="_wvt5y78203ax" w:id="9"/>
      <w:bookmarkEnd w:id="9"/>
      <w:r w:rsidDel="00000000" w:rsidR="00000000" w:rsidRPr="00000000">
        <w:rPr>
          <w:b w:val="1"/>
          <w:bCs w:val="1"/>
          <w:color w:val="000000"/>
          <w:rtl w:val="0"/>
        </w:rPr>
        <w:t xml:space="preserve">Fuentes:</w:t>
      </w:r>
      <w:r w:rsidDel="00000000" w:rsidR="00000000" w:rsidRPr="00000000">
        <w:rPr>
          <w:rtl w:val="0"/>
        </w:rPr>
      </w:r>
    </w:p>
    <w:p w:rsidR="00000000" w:rsidDel="00000000" w:rsidP="00000000" w:rsidRDefault="00000000" w:rsidRPr="00000000" w14:paraId="00000024">
      <w:pPr>
        <w:ind w:left="720"/>
        <w:jc w:val="both"/>
        <w:rPr/>
      </w:pPr>
      <w:r w:rsidDel="00000000" w:rsidR="00000000" w:rsidRPr="00000000">
        <w:rPr>
          <w:i w:val="1"/>
          <w:iCs w:val="1"/>
          <w:rtl w:val="0"/>
        </w:rPr>
        <w:t xml:space="preserve">Crisis de medicamentos en Colombia: acceso limitado y elevado gasto de bolsillo afectan gravemente a los pacientes</w:t>
      </w:r>
      <w:r w:rsidDel="00000000" w:rsidR="00000000" w:rsidRPr="00000000">
        <w:rPr>
          <w:rtl w:val="0"/>
        </w:rPr>
        <w:t xml:space="preserve">. (2025, 27 noviembre). https://concejodebogota.gov.co/crisis-de-medicamentos-en-colombia-acceso-limitado-y-elevado-gasto-de/cbogota/2025-11-27/154353.php</w:t>
      </w:r>
    </w:p>
    <w:p w:rsidR="00000000" w:rsidDel="00000000" w:rsidP="00000000" w:rsidRDefault="00000000" w:rsidRPr="00000000" w14:paraId="00000025">
      <w:pPr>
        <w:ind w:left="720"/>
        <w:jc w:val="both"/>
        <w:rPr/>
      </w:pPr>
      <w:r w:rsidDel="00000000" w:rsidR="00000000" w:rsidRPr="00000000">
        <w:rPr>
          <w:i w:val="1"/>
          <w:iCs w:val="1"/>
          <w:rtl w:val="0"/>
        </w:rPr>
        <w:t xml:space="preserve">Listado de abastecimiento y desabastecimiento de medicamentos - enero 2025</w:t>
      </w:r>
      <w:r w:rsidDel="00000000" w:rsidR="00000000" w:rsidRPr="00000000">
        <w:rPr>
          <w:rtl w:val="0"/>
        </w:rPr>
        <w:t xml:space="preserve">. (2026, 18 marzo). Invima. https://www.invima.gov.co/biblioteca/listado-abastecimiento-desabastecimiento-medicamentos-enero-2025</w:t>
      </w:r>
    </w:p>
    <w:p w:rsidR="00000000" w:rsidDel="00000000" w:rsidP="00000000" w:rsidRDefault="00000000" w:rsidRPr="00000000" w14:paraId="00000026">
      <w:pPr>
        <w:ind w:left="720"/>
        <w:jc w:val="both"/>
        <w:rPr/>
      </w:pPr>
      <w:r w:rsidDel="00000000" w:rsidR="00000000" w:rsidRPr="00000000">
        <w:rPr>
          <w:rtl w:val="0"/>
        </w:rPr>
        <w:t xml:space="preserve">Ochoa, P., &amp; Ochoa, P. (2026, 11 marzo). </w:t>
      </w:r>
      <w:r w:rsidDel="00000000" w:rsidR="00000000" w:rsidRPr="00000000">
        <w:rPr>
          <w:i w:val="1"/>
          <w:iCs w:val="1"/>
          <w:rtl w:val="0"/>
        </w:rPr>
        <w:t xml:space="preserve">Se acumulan las señales de alerta en el sistema de salud: la cartera del sector farmacéutico llega a $4,75 billones al cierre de 2025</w:t>
      </w:r>
      <w:r w:rsidDel="00000000" w:rsidR="00000000" w:rsidRPr="00000000">
        <w:rPr>
          <w:rtl w:val="0"/>
        </w:rPr>
        <w:t xml:space="preserve">. Afidro. https://afidro.org/2026/03/04/se-acumulan-las-senales-de-alerta-en-el-sistema-de-salud-la-cartera-del-sector-farmaceutico-llega-a-475-billones-al-cierre-de-2025/</w:t>
      </w:r>
    </w:p>
    <w:p w:rsidR="00000000" w:rsidDel="00000000" w:rsidP="00000000" w:rsidRDefault="00000000" w:rsidRPr="00000000" w14:paraId="00000027">
      <w:pPr>
        <w:ind w:left="720"/>
        <w:jc w:val="both"/>
        <w:rPr/>
        <w:sectPr>
          <w:headerReference r:id="rId11" w:type="default"/>
          <w:headerReference r:id="rId12" w:type="first"/>
          <w:footerReference r:id="rId13" w:type="default"/>
          <w:footerReference r:id="rId14" w:type="first"/>
          <w:type w:val="continuous"/>
          <w:pgSz w:h="16834" w:w="11909" w:orient="portrait"/>
          <w:pgMar w:bottom="1440" w:top="1440" w:left="1440" w:right="1440" w:header="720" w:footer="720"/>
          <w:cols w:equalWidth="0" w:num="1">
            <w:col w:space="0" w:w="9025.5"/>
          </w:cols>
        </w:sectPr>
      </w:pPr>
      <w:r w:rsidDel="00000000" w:rsidR="00000000" w:rsidRPr="00000000">
        <w:rPr>
          <w:rtl w:val="0"/>
        </w:rPr>
        <w:t xml:space="preserve">Reynoso, L., Reynoso, L., &amp; Reynoso, L. (2025, 29 marzo). Laboratorios, distribuidores, Gobierno y EPS: así falla la cadena de medicamentos en Colombia. </w:t>
      </w:r>
      <w:r w:rsidDel="00000000" w:rsidR="00000000" w:rsidRPr="00000000">
        <w:rPr>
          <w:i w:val="1"/>
          <w:iCs w:val="1"/>
          <w:rtl w:val="0"/>
        </w:rPr>
        <w:t xml:space="preserve">El País América Colombia</w:t>
      </w:r>
      <w:r w:rsidDel="00000000" w:rsidR="00000000" w:rsidRPr="00000000">
        <w:rPr>
          <w:rtl w:val="0"/>
        </w:rPr>
        <w:t xml:space="preserve">. </w:t>
      </w:r>
    </w:p>
    <w:p w:rsidR="00000000" w:rsidDel="00000000" w:rsidP="00000000" w:rsidRDefault="00000000" w:rsidRPr="00000000" w14:paraId="00000028">
      <w:pPr>
        <w:ind w:left="720"/>
        <w:jc w:val="both"/>
        <w:rPr/>
      </w:pPr>
      <w:r w:rsidDel="00000000" w:rsidR="00000000" w:rsidRPr="00000000">
        <w:rPr>
          <w:rtl w:val="0"/>
        </w:rPr>
        <w:t xml:space="preserve">https://elpais.com/america-colombia/2025-03-29/laboratorios-distribuidores-gobierno-y-eps-asi-falla-la-cadena-de-medicamentos-en-colombia.html</w:t>
      </w:r>
    </w:p>
    <w:p w:rsidR="00000000" w:rsidDel="00000000" w:rsidP="00000000" w:rsidRDefault="00000000" w:rsidRPr="00000000" w14:paraId="00000029">
      <w:pPr>
        <w:ind w:left="720"/>
        <w:jc w:val="both"/>
        <w:rPr/>
      </w:pPr>
      <w:r w:rsidDel="00000000" w:rsidR="00000000" w:rsidRPr="00000000">
        <w:rPr>
          <w:rtl w:val="0"/>
        </w:rPr>
        <w:t xml:space="preserve">Triana, D. K. R. (2026, 15 enero). Sistema de salud cerró 2025 con pérdidas de $7,3 billones y arranca 2026 con déficit en UPC y presupuesto máximo. </w:t>
      </w:r>
      <w:r w:rsidDel="00000000" w:rsidR="00000000" w:rsidRPr="00000000">
        <w:rPr>
          <w:i w:val="1"/>
          <w:iCs w:val="1"/>
          <w:rtl w:val="0"/>
        </w:rPr>
        <w:t xml:space="preserve">Portafolio.co</w:t>
      </w:r>
      <w:r w:rsidDel="00000000" w:rsidR="00000000" w:rsidRPr="00000000">
        <w:rPr>
          <w:rtl w:val="0"/>
        </w:rPr>
        <w:t xml:space="preserve">. https://www.portafolio.co/economia/gobierno/sistema-de-salud-cerro-2025-con-perdidas-de-7-3-billones-y-arranca-2026-con-deficit-en-upc-y-presupuesto-maximo-486354</w:t>
      </w:r>
    </w:p>
    <w:sectPr>
      <w:headerReference r:id="rId15" w:type="default"/>
      <w:headerReference r:id="rId16" w:type="first"/>
      <w:footerReference r:id="rId17" w:type="default"/>
      <w:footerReference r:id="rId18" w:type="first"/>
      <w:type w:val="continuous"/>
      <w:pgSz w:h="16834" w:w="11909" w:orient="portrait"/>
      <w:pgMar w:bottom="1440" w:top="1440" w:left="1440" w:right="1440" w:header="720" w:footer="720"/>
      <w:cols w:equalWidth="0" w:num="1">
        <w:col w:space="0" w:w="902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Style w:val="Heading1"/>
      <w:rPr/>
    </w:pPr>
    <w:bookmarkStart w:colFirst="0" w:colLast="0" w:name="_jb2geuf3pcjx" w:id="10"/>
    <w:bookmarkEnd w:id="10"/>
    <w:r w:rsidDel="00000000" w:rsidR="00000000" w:rsidRPr="00000000">
      <w:rPr>
        <w:rtl w:val="0"/>
      </w:rPr>
    </w:r>
  </w:p>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2.xm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1.xml"/><Relationship Id="rId14" Type="http://schemas.openxmlformats.org/officeDocument/2006/relationships/footer" Target="footer2.xml"/><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18" Type="http://schemas.openxmlformats.org/officeDocument/2006/relationships/footer" Target="footer2.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