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rFonts w:ascii="Calibri" w:cs="Calibri" w:eastAsia="Calibri" w:hAnsi="Calibri"/>
          <w:b/>
          <w:bCs/>
          <w:color w:val="1B6CA8"/>
          <w:sz w:val="20"/>
          <w:szCs w:val="20"/>
        </w:rPr>
        <w:t xml:space="preserve">LINKUP TECHNOLOGIES</w:t>
      </w:r>
    </w:p>
    <w:p>
      <w:pPr>
        <w:pBdr>
          <w:bottom w:val="single" w:color="0B2545" w:sz="12" w:space="8"/>
        </w:pBdr>
        <w:spacing w:after="100" w:before="200"/>
      </w:pPr>
      <w:r>
        <w:rPr>
          <w:rFonts w:ascii="Calibri" w:cs="Calibri" w:eastAsia="Calibri" w:hAnsi="Calibri"/>
          <w:b/>
          <w:bCs/>
          <w:color w:val="0B2545"/>
          <w:sz w:val="44"/>
          <w:szCs w:val="44"/>
        </w:rPr>
        <w:t xml:space="preserve">SPÉCIFICATION TECHNIQUE</w:t>
      </w:r>
    </w:p>
    <w:p>
      <w:pPr>
        <w:spacing w:after="400" w:before="200"/>
      </w:pPr>
      <w:r>
        <w:rPr>
          <w:rFonts w:ascii="Calibri" w:cs="Calibri" w:eastAsia="Calibri" w:hAnsi="Calibri"/>
          <w:color w:val="444444"/>
          <w:sz w:val="24"/>
          <w:szCs w:val="24"/>
        </w:rPr>
        <w:t xml:space="preserve">CRM Immobilier V1 — SaaS multi-tenant · Développement from scratch</w:t>
      </w:r>
    </w:p>
    <w:tbl>
      <w:tblPr>
        <w:tblW w:type="dxa" w:w="9360"/>
        <w:tblBorders>
          <w:top w:val="single" w:color="D9E1E8" w:sz="4"/>
          <w:left w:val="single" w:color="D9E1E8" w:sz="4"/>
          <w:bottom w:val="single" w:color="D9E1E8" w:sz="4"/>
          <w:right w:val="single" w:color="D9E1E8" w:sz="4"/>
          <w:insideH w:val="single" w:color="D9E1E8" w:sz="4"/>
          <w:insideV w:val="single" w:color="D9E1E8" w:sz="4"/>
        </w:tblBorders>
      </w:tblPr>
      <w:tblGrid>
        <w:gridCol w:w="2600"/>
        <w:gridCol w:w="6760"/>
      </w:tblGrid>
      <w:tr>
        <w:trPr>
          <w:tblHeader/>
        </w:trPr>
        <w:tc>
          <w:tcPr>
            <w:tcW w:type="dxa" w:w="260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ÉLÉMENT</w:t>
            </w:r>
          </w:p>
        </w:tc>
        <w:tc>
          <w:tcPr>
            <w:tcW w:type="dxa" w:w="676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VALEUR</w:t>
            </w:r>
          </w:p>
        </w:tc>
      </w:tr>
      <w:tr>
        <w:tc>
          <w:tcPr>
            <w:tcW w:type="dxa" w:w="26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Produit</w:t>
            </w:r>
          </w:p>
        </w:tc>
        <w:tc>
          <w:tcPr>
            <w:tcW w:type="dxa" w:w="67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CRM immobilier multi-tenant — socle produit LinkUp</w:t>
            </w:r>
          </w:p>
        </w:tc>
      </w:tr>
      <w:tr>
        <w:tc>
          <w:tcPr>
            <w:tcW w:type="dxa" w:w="26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Client pilote</w:t>
            </w:r>
          </w:p>
        </w:tc>
        <w:tc>
          <w:tcPr>
            <w:tcW w:type="dxa" w:w="67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GRET INVEST — Lot 2 du contrat LKU-GRETINVEST-2026-001</w:t>
            </w:r>
          </w:p>
        </w:tc>
      </w:tr>
      <w:tr>
        <w:tc>
          <w:tcPr>
            <w:tcW w:type="dxa" w:w="26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Destinataire</w:t>
            </w:r>
          </w:p>
        </w:tc>
        <w:tc>
          <w:tcPr>
            <w:tcW w:type="dxa" w:w="67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Équipe technique LinkUp — Gildas Mandou (Tech Lead), Sofiane (Full Stack)</w:t>
            </w:r>
          </w:p>
        </w:tc>
      </w:tr>
      <w:tr>
        <w:tc>
          <w:tcPr>
            <w:tcW w:type="dxa" w:w="26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Approche</w:t>
            </w:r>
          </w:p>
        </w:tc>
        <w:tc>
          <w:tcPr>
            <w:tcW w:type="dxa" w:w="67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Développement from scratch — aucun script tiers, aucune dépendance de licence</w:t>
            </w:r>
          </w:p>
        </w:tc>
      </w:tr>
      <w:tr>
        <w:tc>
          <w:tcPr>
            <w:tcW w:type="dxa" w:w="26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Délai</w:t>
            </w:r>
          </w:p>
        </w:tc>
        <w:tc>
          <w:tcPr>
            <w:tcW w:type="dxa" w:w="67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6 semaines jusqu'à la mise en production</w:t>
            </w:r>
          </w:p>
        </w:tc>
      </w:tr>
      <w:tr>
        <w:tc>
          <w:tcPr>
            <w:tcW w:type="dxa" w:w="26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Version / date</w:t>
            </w:r>
          </w:p>
        </w:tc>
        <w:tc>
          <w:tcPr>
            <w:tcW w:type="dxa" w:w="67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V1.0 — Dakar, août 2026</w:t>
            </w:r>
          </w:p>
        </w:tc>
      </w:tr>
    </w:tbl>
    <w:p>
      <w:pPr>
        <w:spacing w:after="160"/>
      </w:pPr>
    </w:p>
    <w:tbl>
      <w:tblPr>
        <w:tblW w:type="dxa" w:w="9360"/>
        <w:tblBorders>
          <w:top w:val="single" w:color="1B6CA8" w:sz="4"/>
          <w:left w:val="single" w:color="1B6CA8" w:sz="18"/>
          <w:bottom w:val="single" w:color="1B6CA8" w:sz="4"/>
          <w:right w:val="single" w:color="1B6CA8" w:sz="4"/>
          <w:insideH w:val="none"/>
          <w:insideV w:val="none"/>
        </w:tblBorders>
      </w:tblPr>
      <w:tblGrid>
        <w:gridCol w:w="9360"/>
      </w:tblGrid>
      <w:tr>
        <w:tc>
          <w:tcPr>
            <w:tcW w:type="dxa" w:w="9360"/>
            <w:shd w:fill="F2F5F8" w:color="auto" w:val="clear"/>
            <w:tcMar>
              <w:top w:type="dxa" w:w="140"/>
              <w:left w:type="dxa" w:w="160"/>
              <w:bottom w:type="dxa" w:w="140"/>
              <w:right w:type="dxa" w:w="160"/>
            </w:tcMar>
          </w:tcPr>
          <w:p>
            <w:pPr>
              <w:spacing w:after="60"/>
            </w:pPr>
            <w:r>
              <w:rPr>
                <w:rFonts w:ascii="Calibri" w:cs="Calibri" w:eastAsia="Calibri" w:hAnsi="Calibri"/>
                <w:b/>
                <w:bCs/>
                <w:color w:val="1B6CA8"/>
                <w:sz w:val="19"/>
                <w:szCs w:val="19"/>
              </w:rPr>
              <w:t xml:space="preserve">COMMENT LIRE CE DOCUMENT</w:t>
            </w:r>
          </w:p>
          <w:p>
            <w:pPr>
              <w:spacing w:after="0" w:line="270"/>
            </w:pPr>
            <w:r>
              <w:rPr>
                <w:rFonts w:ascii="Calibri" w:cs="Calibri" w:eastAsia="Calibri" w:hAnsi="Calibri"/>
                <w:sz w:val="19"/>
                <w:szCs w:val="19"/>
              </w:rPr>
              <w:t xml:space="preserve">Ce n'est pas un CRM générique. Quatre fonctions font toute la valeur du produit et sont contractuellement mesurées : le traçage obligatoire de la source, le compteur de première réponse en heures ouvrées, la qualification calculée et l'écart à la trajectoire. Si le calendrier se tend, on coupe tout le reste — jamais celles-là. Le CRUD, le pipeline et les listes sont du travail standard : allez vite dessus.</w:t>
            </w:r>
          </w:p>
        </w:tc>
      </w:tr>
    </w:tbl>
    <w:p>
      <w:r>
        <w:br w:type="page"/>
      </w:r>
    </w:p>
    <w:p>
      <w:pPr>
        <w:pStyle w:val="Heading1"/>
        <w:spacing w:after="200" w:before="360"/>
      </w:pPr>
      <w:r>
        <w:rPr>
          <w:rFonts w:ascii="Calibri" w:cs="Calibri" w:eastAsia="Calibri" w:hAnsi="Calibri"/>
          <w:b/>
          <w:bCs/>
          <w:color w:val="0B2545"/>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0B2545"/>
          <w:sz w:val="30"/>
          <w:szCs w:val="30"/>
        </w:rPr>
        <w:t xml:space="preserve">1. Stack technique</w:t>
      </w:r>
    </w:p>
    <w:tbl>
      <w:tblPr>
        <w:tblW w:type="dxa" w:w="9360"/>
        <w:tblBorders>
          <w:top w:val="single" w:color="D9E1E8" w:sz="4"/>
          <w:left w:val="single" w:color="D9E1E8" w:sz="4"/>
          <w:bottom w:val="single" w:color="D9E1E8" w:sz="4"/>
          <w:right w:val="single" w:color="D9E1E8" w:sz="4"/>
          <w:insideH w:val="single" w:color="D9E1E8" w:sz="4"/>
          <w:insideV w:val="single" w:color="D9E1E8" w:sz="4"/>
        </w:tblBorders>
      </w:tblPr>
      <w:tblGrid>
        <w:gridCol w:w="2200"/>
        <w:gridCol w:w="3200"/>
        <w:gridCol w:w="3960"/>
      </w:tblGrid>
      <w:tr>
        <w:trPr>
          <w:tblHeader/>
        </w:trPr>
        <w:tc>
          <w:tcPr>
            <w:tcW w:type="dxa" w:w="220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COUCHE</w:t>
            </w:r>
          </w:p>
        </w:tc>
        <w:tc>
          <w:tcPr>
            <w:tcW w:type="dxa" w:w="320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CHOIX</w:t>
            </w:r>
          </w:p>
        </w:tc>
        <w:tc>
          <w:tcPr>
            <w:tcW w:type="dxa" w:w="396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RAISON</w:t>
            </w:r>
          </w:p>
        </w:tc>
      </w:tr>
      <w:tr>
        <w:tc>
          <w:tcPr>
            <w:tcW w:type="dxa" w:w="22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Backend</w:t>
            </w:r>
          </w:p>
        </w:tc>
        <w:tc>
          <w:tcPr>
            <w:tcW w:type="dxa" w:w="32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Laravel 12, PHP 8.3</w:t>
            </w:r>
          </w:p>
        </w:tc>
        <w:tc>
          <w:tcPr>
            <w:tcW w:type="dxa" w:w="39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Écosystème, rapidité de développement</w:t>
            </w:r>
          </w:p>
        </w:tc>
      </w:tr>
      <w:tr>
        <w:tc>
          <w:tcPr>
            <w:tcW w:type="dxa" w:w="22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Admin / UI</w:t>
            </w:r>
          </w:p>
        </w:tc>
        <w:tc>
          <w:tcPr>
            <w:tcW w:type="dxa" w:w="32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Filament 5</w:t>
            </w:r>
          </w:p>
        </w:tc>
        <w:tc>
          <w:tcPr>
            <w:tcW w:type="dxa" w:w="39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Génère 70 % des écrans — c'est ce qui rend les six semaines tenables</w:t>
            </w:r>
          </w:p>
        </w:tc>
      </w:tr>
      <w:tr>
        <w:tc>
          <w:tcPr>
            <w:tcW w:type="dxa" w:w="22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Multi-tenant</w:t>
            </w:r>
          </w:p>
        </w:tc>
        <w:tc>
          <w:tcPr>
            <w:tcW w:type="dxa" w:w="32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stancl/tenancy, mode single database</w:t>
            </w:r>
          </w:p>
        </w:tc>
        <w:tc>
          <w:tcPr>
            <w:tcW w:type="dxa" w:w="39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Isolation logique par tenant_id</w:t>
            </w:r>
          </w:p>
        </w:tc>
      </w:tr>
      <w:tr>
        <w:tc>
          <w:tcPr>
            <w:tcW w:type="dxa" w:w="22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Rôles</w:t>
            </w:r>
          </w:p>
        </w:tc>
        <w:tc>
          <w:tcPr>
            <w:tcW w:type="dxa" w:w="32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spatie/laravel-permission</w:t>
            </w:r>
          </w:p>
        </w:tc>
        <w:tc>
          <w:tcPr>
            <w:tcW w:type="dxa" w:w="39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Quatre rôles, voir chapitre 3</w:t>
            </w:r>
          </w:p>
        </w:tc>
      </w:tr>
      <w:tr>
        <w:tc>
          <w:tcPr>
            <w:tcW w:type="dxa" w:w="22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Audit</w:t>
            </w:r>
          </w:p>
        </w:tc>
        <w:tc>
          <w:tcPr>
            <w:tcW w:type="dxa" w:w="32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spatie/laravel-activitylog</w:t>
            </w:r>
          </w:p>
        </w:tc>
        <w:tc>
          <w:tcPr>
            <w:tcW w:type="dxa" w:w="39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Journal non modifiable</w:t>
            </w:r>
          </w:p>
        </w:tc>
      </w:tr>
      <w:tr>
        <w:tc>
          <w:tcPr>
            <w:tcW w:type="dxa" w:w="22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Base de données</w:t>
            </w:r>
          </w:p>
        </w:tc>
        <w:tc>
          <w:tcPr>
            <w:tcW w:type="dxa" w:w="32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PostgreSQL 16</w:t>
            </w:r>
          </w:p>
        </w:tc>
        <w:tc>
          <w:tcPr>
            <w:tcW w:type="dxa" w:w="39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Index uniques partiels et JSONB — supérieur à MySQL pour les index conditionnels</w:t>
            </w:r>
          </w:p>
        </w:tc>
      </w:tr>
      <w:tr>
        <w:tc>
          <w:tcPr>
            <w:tcW w:type="dxa" w:w="22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File d'attente</w:t>
            </w:r>
          </w:p>
        </w:tc>
        <w:tc>
          <w:tcPr>
            <w:tcW w:type="dxa" w:w="32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Redis + Horizon</w:t>
            </w:r>
          </w:p>
        </w:tc>
        <w:tc>
          <w:tcPr>
            <w:tcW w:type="dxa" w:w="39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Relances, notifications, imports</w:t>
            </w:r>
          </w:p>
        </w:tc>
      </w:tr>
      <w:tr>
        <w:tc>
          <w:tcPr>
            <w:tcW w:type="dxa" w:w="22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Planificateur</w:t>
            </w:r>
          </w:p>
        </w:tc>
        <w:tc>
          <w:tcPr>
            <w:tcW w:type="dxa" w:w="32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schedule:work via cron</w:t>
            </w:r>
          </w:p>
        </w:tc>
        <w:tc>
          <w:tcPr>
            <w:tcW w:type="dxa" w:w="39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Séquences, détection d'inactivité</w:t>
            </w:r>
          </w:p>
        </w:tc>
      </w:tr>
      <w:tr>
        <w:tc>
          <w:tcPr>
            <w:tcW w:type="dxa" w:w="22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E-mail</w:t>
            </w:r>
          </w:p>
        </w:tc>
        <w:tc>
          <w:tcPr>
            <w:tcW w:type="dxa" w:w="32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SMTP transactionnel (Postmark ou SES)</w:t>
            </w:r>
          </w:p>
        </w:tc>
        <w:tc>
          <w:tcPr>
            <w:tcW w:type="dxa" w:w="39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Webhooks de remise</w:t>
            </w:r>
          </w:p>
        </w:tc>
      </w:tr>
      <w:tr>
        <w:tc>
          <w:tcPr>
            <w:tcW w:type="dxa" w:w="22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WhatsApp</w:t>
            </w:r>
          </w:p>
        </w:tc>
        <w:tc>
          <w:tcPr>
            <w:tcW w:type="dxa" w:w="32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WhatsApp Cloud API (Meta)</w:t>
            </w:r>
          </w:p>
        </w:tc>
        <w:tc>
          <w:tcPr>
            <w:tcW w:type="dxa" w:w="39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Voir chapitre 7 — risque numéro un du projet</w:t>
            </w:r>
          </w:p>
        </w:tc>
      </w:tr>
      <w:tr>
        <w:tc>
          <w:tcPr>
            <w:tcW w:type="dxa" w:w="22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Téléphone</w:t>
            </w:r>
          </w:p>
        </w:tc>
        <w:tc>
          <w:tcPr>
            <w:tcW w:type="dxa" w:w="32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giggsey/libphonenumber-for-php</w:t>
            </w:r>
          </w:p>
        </w:tc>
        <w:tc>
          <w:tcPr>
            <w:tcW w:type="dxa" w:w="39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Normalisation E.164, sans quoi la déduplication ne fonctionne pas</w:t>
            </w:r>
          </w:p>
        </w:tc>
      </w:tr>
    </w:tbl>
    <w:p>
      <w:pPr>
        <w:spacing w:after="160"/>
      </w:pPr>
    </w:p>
    <w:tbl>
      <w:tblPr>
        <w:tblW w:type="dxa" w:w="9360"/>
        <w:tblBorders>
          <w:top w:val="single" w:color="B03A2E" w:sz="4"/>
          <w:left w:val="single" w:color="B03A2E" w:sz="18"/>
          <w:bottom w:val="single" w:color="B03A2E" w:sz="4"/>
          <w:right w:val="single" w:color="B03A2E" w:sz="4"/>
          <w:insideH w:val="none"/>
          <w:insideV w:val="none"/>
        </w:tblBorders>
      </w:tblPr>
      <w:tblGrid>
        <w:gridCol w:w="9360"/>
      </w:tblGrid>
      <w:tr>
        <w:tc>
          <w:tcPr>
            <w:tcW w:type="dxa" w:w="9360"/>
            <w:shd w:fill="F2F5F8" w:color="auto" w:val="clear"/>
            <w:tcMar>
              <w:top w:type="dxa" w:w="140"/>
              <w:left w:type="dxa" w:w="160"/>
              <w:bottom w:type="dxa" w:w="140"/>
              <w:right w:type="dxa" w:w="160"/>
            </w:tcMar>
          </w:tcPr>
          <w:p>
            <w:pPr>
              <w:spacing w:after="60"/>
            </w:pPr>
            <w:r>
              <w:rPr>
                <w:rFonts w:ascii="Calibri" w:cs="Calibri" w:eastAsia="Calibri" w:hAnsi="Calibri"/>
                <w:b/>
                <w:bCs/>
                <w:color w:val="B03A2E"/>
                <w:sz w:val="19"/>
                <w:szCs w:val="19"/>
              </w:rPr>
              <w:t xml:space="preserve">RÈGLES INTERDITES</w:t>
            </w:r>
          </w:p>
          <w:p>
            <w:pPr>
              <w:spacing w:after="0" w:line="270"/>
            </w:pPr>
            <w:r>
              <w:rPr>
                <w:rFonts w:ascii="Calibri" w:cs="Calibri" w:eastAsia="Calibri" w:hAnsi="Calibri"/>
                <w:sz w:val="19"/>
                <w:szCs w:val="19"/>
              </w:rPr>
              <w:t xml:space="preserve">Aucun test sur l'identifiant d'un tenant dans le code métier. Aucune valeur métier en dur. Aucun libellé de pipeline, motif de perte ou cible chiffrée écrit dans le code : tout cela vit dans tenant_settings. C'est ce qui rend le produit redéployable chez le client suivant sans refonte.</w:t>
            </w:r>
          </w:p>
        </w:tc>
      </w:tr>
    </w:tbl>
    <w:p>
      <w:r>
        <w:br w:type="page"/>
      </w:r>
    </w:p>
    <w:p>
      <w:pPr>
        <w:pStyle w:val="Heading1"/>
        <w:spacing w:after="200" w:before="360"/>
      </w:pPr>
      <w:r>
        <w:rPr>
          <w:rFonts w:ascii="Calibri" w:cs="Calibri" w:eastAsia="Calibri" w:hAnsi="Calibri"/>
          <w:b/>
          <w:bCs/>
          <w:color w:val="0B2545"/>
          <w:sz w:val="30"/>
          <w:szCs w:val="30"/>
        </w:rPr>
        <w:t xml:space="preserve">2. Multi-tenant — la décision structurante</w:t>
      </w:r>
    </w:p>
    <w:p>
      <w:pPr>
        <w:spacing w:after="120" w:line="276"/>
      </w:pPr>
      <w:r>
        <w:rPr>
          <w:rFonts w:ascii="Calibri" w:cs="Calibri" w:eastAsia="Calibri" w:hAnsi="Calibri"/>
          <w:color w:val="222222"/>
          <w:sz w:val="21"/>
          <w:szCs w:val="21"/>
        </w:rPr>
        <w:t xml:space="preserve">Single database, discriminant tenant_id sur toutes les tables métier. Pas de base par tenant : cela complique les migrations, les rapports transverses et le déploiement, pour un bénéfice nul à notre volumétrie (moins de 50 000 contacts par tenant).</w:t>
      </w:r>
    </w:p>
    <w:p>
      <w:pPr>
        <w:pStyle w:val="Heading2"/>
        <w:spacing w:after="140" w:before="260"/>
      </w:pPr>
      <w:r>
        <w:rPr>
          <w:rFonts w:ascii="Calibri" w:cs="Calibri" w:eastAsia="Calibri" w:hAnsi="Calibri"/>
          <w:b/>
          <w:bCs/>
          <w:color w:val="1B6CA8"/>
          <w:sz w:val="24"/>
          <w:szCs w:val="24"/>
        </w:rPr>
        <w:t xml:space="preserve">2.1 Implémentation</w:t>
      </w:r>
    </w:p>
    <w:tbl>
      <w:tblPr>
        <w:tblW w:type="dxa" w:w="9360"/>
        <w:tblBorders>
          <w:top w:val="none"/>
          <w:left w:val="none"/>
          <w:bottom w:val="none"/>
          <w:right w:val="none"/>
          <w:insideH w:val="none"/>
          <w:insideV w:val="none"/>
        </w:tblBorders>
      </w:tblPr>
      <w:tblGrid>
        <w:gridCol w:w="9360"/>
      </w:tblGrid>
      <w:tr>
        <w:tc>
          <w:tcPr>
            <w:tcW w:type="dxa" w:w="9360"/>
            <w:shd w:fill="1E2A38" w:color="auto" w:val="clear"/>
            <w:tcMar>
              <w:top w:type="dxa" w:w="140"/>
              <w:left w:type="dxa" w:w="180"/>
              <w:bottom w:type="dxa" w:w="140"/>
              <w:right w:type="dxa" w:w="140"/>
            </w:tcMar>
          </w:tcPr>
          <w:p>
            <w:pPr>
              <w:spacing w:after="0" w:line="250"/>
            </w:pPr>
            <w:r>
              <w:rPr>
                <w:rFonts w:ascii="Consolas" w:cs="Consolas" w:eastAsia="Consolas" w:hAnsi="Consolas"/>
                <w:color w:val="D6E4F0"/>
                <w:sz w:val="17"/>
                <w:szCs w:val="17"/>
              </w:rPr>
              <w:t xml:space="preserve">// app/Models/Concerns/BelongsToTenant.php</w:t>
            </w:r>
          </w:p>
          <w:p>
            <w:pPr>
              <w:spacing w:after="0" w:line="250"/>
            </w:pPr>
            <w:r>
              <w:rPr>
                <w:rFonts w:ascii="Consolas" w:cs="Consolas" w:eastAsia="Consolas" w:hAnsi="Consolas"/>
                <w:color w:val="D6E4F0"/>
                <w:sz w:val="17"/>
                <w:szCs w:val="17"/>
              </w:rPr>
              <w:t xml:space="preserve">trait BelongsToTenant</w:t>
            </w:r>
          </w:p>
          <w:p>
            <w:pPr>
              <w:spacing w:after="0" w:line="250"/>
            </w:pPr>
            <w:r>
              <w:rPr>
                <w:rFonts w:ascii="Consolas" w:cs="Consolas" w:eastAsia="Consolas" w:hAnsi="Consolas"/>
                <w:color w:val="D6E4F0"/>
                <w:sz w:val="17"/>
                <w:szCs w:val="17"/>
              </w:rPr>
              <w:t xml:space="preserve">{</w:t>
            </w:r>
          </w:p>
          <w:p>
            <w:pPr>
              <w:spacing w:after="0" w:line="250"/>
            </w:pPr>
            <w:r>
              <w:rPr>
                <w:rFonts w:ascii="Consolas" w:cs="Consolas" w:eastAsia="Consolas" w:hAnsi="Consolas"/>
                <w:color w:val="D6E4F0"/>
                <w:sz w:val="17"/>
                <w:szCs w:val="17"/>
              </w:rPr>
              <w:t xml:space="preserve">    protected static function bootBelongsToTenant(): void</w:t>
            </w:r>
          </w:p>
          <w:p>
            <w:pPr>
              <w:spacing w:after="0" w:line="250"/>
            </w:pPr>
            <w:r>
              <w:rPr>
                <w:rFonts w:ascii="Consolas" w:cs="Consolas" w:eastAsia="Consolas" w:hAnsi="Consolas"/>
                <w:color w:val="D6E4F0"/>
                <w:sz w:val="17"/>
                <w:szCs w:val="17"/>
              </w:rPr>
              <w:t xml:space="preserve">    {</w:t>
            </w:r>
          </w:p>
          <w:p>
            <w:pPr>
              <w:spacing w:after="0" w:line="250"/>
            </w:pPr>
            <w:r>
              <w:rPr>
                <w:rFonts w:ascii="Consolas" w:cs="Consolas" w:eastAsia="Consolas" w:hAnsi="Consolas"/>
                <w:color w:val="D6E4F0"/>
                <w:sz w:val="17"/>
                <w:szCs w:val="17"/>
              </w:rPr>
              <w:t xml:space="preserve">        static::addGlobalScope(new TenantScope);</w:t>
            </w:r>
          </w:p>
          <w:p>
            <w:pPr>
              <w:spacing w:after="0" w:line="250"/>
            </w:pPr>
            <w:r>
              <w:rPr>
                <w:rFonts w:ascii="Consolas" w:cs="Consolas" w:eastAsia="Consolas" w:hAnsi="Consolas"/>
                <w:color w:val="D6E4F0"/>
                <w:sz w:val="17"/>
                <w:szCs w:val="17"/>
              </w:rPr>
              <w:t xml:space="preserve">        static::creating(fn ($m) =&gt; $m-&gt;tenant_id ??= tenant('id'));</w:t>
            </w:r>
          </w:p>
          <w:p>
            <w:pPr>
              <w:spacing w:after="0" w:line="250"/>
            </w:pPr>
            <w:r>
              <w:rPr>
                <w:rFonts w:ascii="Consolas" w:cs="Consolas" w:eastAsia="Consolas" w:hAnsi="Consolas"/>
                <w:color w:val="D6E4F0"/>
                <w:sz w:val="17"/>
                <w:szCs w:val="17"/>
              </w:rPr>
              <w:t xml:space="preserve">    }</w:t>
            </w:r>
          </w:p>
          <w:p>
            <w:pPr>
              <w:spacing w:after="0" w:line="250"/>
            </w:pPr>
            <w:r>
              <w:rPr>
                <w:rFonts w:ascii="Consolas" w:cs="Consolas" w:eastAsia="Consolas" w:hAnsi="Consolas"/>
                <w:color w:val="D6E4F0"/>
                <w:sz w:val="17"/>
                <w:szCs w:val="17"/>
              </w:rPr>
              <w:t xml:space="preserve">}</w:t>
            </w:r>
          </w:p>
        </w:tc>
      </w:tr>
    </w:tbl>
    <w:p>
      <w:pPr>
        <w:spacing w:after="160"/>
      </w:pPr>
    </w:p>
    <w:p>
      <w:pPr>
        <w:pStyle w:val="ListParagraph"/>
        <w:numPr>
          <w:ilvl w:val="0"/>
          <w:numId w:val="2"/>
        </w:numPr>
        <w:spacing w:after="60" w:line="276"/>
      </w:pPr>
      <w:r>
        <w:rPr>
          <w:rFonts w:ascii="Calibri" w:cs="Calibri" w:eastAsia="Calibri" w:hAnsi="Calibri"/>
          <w:sz w:val="21"/>
          <w:szCs w:val="21"/>
        </w:rPr>
        <w:t xml:space="preserve">Global scope appliqué au niveau du modèle, jamais requête par requête.</w:t>
      </w:r>
    </w:p>
    <w:p>
      <w:pPr>
        <w:pStyle w:val="ListParagraph"/>
        <w:numPr>
          <w:ilvl w:val="0"/>
          <w:numId w:val="2"/>
        </w:numPr>
        <w:spacing w:after="60" w:line="276"/>
      </w:pPr>
      <w:r>
        <w:rPr>
          <w:rFonts w:ascii="Calibri" w:cs="Calibri" w:eastAsia="Calibri" w:hAnsi="Calibri"/>
          <w:sz w:val="21"/>
          <w:szCs w:val="21"/>
        </w:rPr>
        <w:t xml:space="preserve">Résolution du tenant par sous-domaine : gretinvest.crm.linkup.sn</w:t>
      </w:r>
    </w:p>
    <w:p>
      <w:pPr>
        <w:pStyle w:val="ListParagraph"/>
        <w:numPr>
          <w:ilvl w:val="0"/>
          <w:numId w:val="2"/>
        </w:numPr>
        <w:spacing w:after="60" w:line="276"/>
      </w:pPr>
      <w:r>
        <w:rPr>
          <w:rFonts w:ascii="Calibri" w:cs="Calibri" w:eastAsia="Calibri" w:hAnsi="Calibri"/>
          <w:sz w:val="21"/>
          <w:szCs w:val="21"/>
        </w:rPr>
        <w:t xml:space="preserve">tenant_id NOT NULL, et en tête de chaque index composite métier : (tenant_id, created_at), (tenant_id, status).</w:t>
      </w:r>
    </w:p>
    <w:p>
      <w:pPr>
        <w:pStyle w:val="Heading2"/>
        <w:spacing w:after="140" w:before="260"/>
      </w:pPr>
      <w:r>
        <w:rPr>
          <w:rFonts w:ascii="Calibri" w:cs="Calibri" w:eastAsia="Calibri" w:hAnsi="Calibri"/>
          <w:b/>
          <w:bCs/>
          <w:color w:val="1B6CA8"/>
          <w:sz w:val="24"/>
          <w:szCs w:val="24"/>
        </w:rPr>
        <w:t xml:space="preserve">2.2 Test d'isolation — bloquant pour la recette</w:t>
      </w:r>
    </w:p>
    <w:p>
      <w:pPr>
        <w:spacing w:after="120" w:line="276"/>
      </w:pPr>
      <w:r>
        <w:rPr>
          <w:rFonts w:ascii="Calibri" w:cs="Calibri" w:eastAsia="Calibri" w:hAnsi="Calibri"/>
          <w:color w:val="222222"/>
          <w:sz w:val="21"/>
          <w:szCs w:val="21"/>
        </w:rPr>
        <w:t xml:space="preserve">Un test crée deux tenants, se connecte comme utilisateur du tenant A et vérifie qu'aucune route — y compris par manipulation d'identifiant dans l'URL — ne retourne une ressource du tenant B. Ce test tourne en intégration continue dès la semaine 1 et ne doit jamais être désactivé.</w:t>
      </w:r>
    </w:p>
    <w:p>
      <w:pPr>
        <w:pStyle w:val="Heading2"/>
        <w:spacing w:after="140" w:before="260"/>
      </w:pPr>
      <w:r>
        <w:rPr>
          <w:rFonts w:ascii="Calibri" w:cs="Calibri" w:eastAsia="Calibri" w:hAnsi="Calibri"/>
          <w:b/>
          <w:bCs/>
          <w:color w:val="1B6CA8"/>
          <w:sz w:val="24"/>
          <w:szCs w:val="24"/>
        </w:rPr>
        <w:t xml:space="preserve">2.3 Paramétrage en données, non en code</w:t>
      </w:r>
    </w:p>
    <w:p>
      <w:pPr>
        <w:spacing w:after="120" w:line="276"/>
      </w:pPr>
      <w:r>
        <w:rPr>
          <w:rFonts w:ascii="Calibri" w:cs="Calibri" w:eastAsia="Calibri" w:hAnsi="Calibri"/>
          <w:color w:val="222222"/>
          <w:sz w:val="21"/>
          <w:szCs w:val="21"/>
        </w:rPr>
        <w:t xml:space="preserve">Table tenant_settings en JSONB contenant : étapes du pipeline, libellés, motifs de perte, nomenclature des sources, heures ouvrées, seuil de première réponse, modèles de messages, thème (logo, couleur primaire, sous-domaine). Le prochain client n'aura ni le même pipeline, ni les mêmes segments.</w:t>
      </w:r>
    </w:p>
    <w:p>
      <w:r>
        <w:br w:type="page"/>
      </w:r>
    </w:p>
    <w:p>
      <w:pPr>
        <w:pStyle w:val="Heading1"/>
        <w:spacing w:after="200" w:before="360"/>
      </w:pPr>
      <w:r>
        <w:rPr>
          <w:rFonts w:ascii="Calibri" w:cs="Calibri" w:eastAsia="Calibri" w:hAnsi="Calibri"/>
          <w:b/>
          <w:bCs/>
          <w:color w:val="0B2545"/>
          <w:sz w:val="30"/>
          <w:szCs w:val="30"/>
        </w:rPr>
        <w:t xml:space="preserve">3. Rôles et habilitations</w:t>
      </w:r>
    </w:p>
    <w:tbl>
      <w:tblPr>
        <w:tblW w:type="dxa" w:w="9360"/>
        <w:tblBorders>
          <w:top w:val="single" w:color="D9E1E8" w:sz="4"/>
          <w:left w:val="single" w:color="D9E1E8" w:sz="4"/>
          <w:bottom w:val="single" w:color="D9E1E8" w:sz="4"/>
          <w:right w:val="single" w:color="D9E1E8" w:sz="4"/>
          <w:insideH w:val="single" w:color="D9E1E8" w:sz="4"/>
          <w:insideV w:val="single" w:color="D9E1E8" w:sz="4"/>
        </w:tblBorders>
      </w:tblPr>
      <w:tblGrid>
        <w:gridCol w:w="2200"/>
        <w:gridCol w:w="2800"/>
        <w:gridCol w:w="4360"/>
      </w:tblGrid>
      <w:tr>
        <w:trPr>
          <w:tblHeader/>
        </w:trPr>
        <w:tc>
          <w:tcPr>
            <w:tcW w:type="dxa" w:w="220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RÔLE</w:t>
            </w:r>
          </w:p>
        </w:tc>
        <w:tc>
          <w:tcPr>
            <w:tcW w:type="dxa" w:w="280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PORTÉ PAR</w:t>
            </w:r>
          </w:p>
        </w:tc>
        <w:tc>
          <w:tcPr>
            <w:tcW w:type="dxa" w:w="436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PORTÉE</w:t>
            </w:r>
          </w:p>
        </w:tc>
      </w:tr>
      <w:tr>
        <w:tc>
          <w:tcPr>
            <w:tcW w:type="dxa" w:w="22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super_admin</w:t>
            </w:r>
          </w:p>
        </w:tc>
        <w:tc>
          <w:tcPr>
            <w:tcW w:type="dxa" w:w="28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LinkUp</w:t>
            </w:r>
          </w:p>
        </w:tc>
        <w:tc>
          <w:tcPr>
            <w:tcW w:type="dxa" w:w="43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Cross-tenant. Tout accès support est tracé dans l'activity log.</w:t>
            </w:r>
          </w:p>
        </w:tc>
      </w:tr>
      <w:tr>
        <w:tc>
          <w:tcPr>
            <w:tcW w:type="dxa" w:w="22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admin</w:t>
            </w:r>
          </w:p>
        </w:tc>
        <w:tc>
          <w:tcPr>
            <w:tcW w:type="dxa" w:w="28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Direction client</w:t>
            </w:r>
          </w:p>
        </w:tc>
        <w:tc>
          <w:tcPr>
            <w:tcW w:type="dxa" w:w="43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Ensemble du tenant, plus le paramétrage.</w:t>
            </w:r>
          </w:p>
        </w:tc>
      </w:tr>
      <w:tr>
        <w:tc>
          <w:tcPr>
            <w:tcW w:type="dxa" w:w="22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commercial</w:t>
            </w:r>
          </w:p>
        </w:tc>
        <w:tc>
          <w:tcPr>
            <w:tcW w:type="dxa" w:w="28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Équipe commerciale</w:t>
            </w:r>
          </w:p>
        </w:tc>
        <w:tc>
          <w:tcPr>
            <w:tcW w:type="dxa" w:w="43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Ses contacts assignés : création, qualification, pipeline.</w:t>
            </w:r>
          </w:p>
        </w:tc>
      </w:tr>
      <w:tr>
        <w:tc>
          <w:tcPr>
            <w:tcW w:type="dxa" w:w="22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observer</w:t>
            </w:r>
          </w:p>
        </w:tc>
        <w:tc>
          <w:tcPr>
            <w:tcW w:type="dxa" w:w="28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Agence de communication, direction</w:t>
            </w:r>
          </w:p>
        </w:tc>
        <w:tc>
          <w:tcPr>
            <w:tcW w:type="dxa" w:w="43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Agrégats uniquement. Aucun accès aux données nominatives.</w:t>
            </w:r>
          </w:p>
        </w:tc>
      </w:tr>
    </w:tbl>
    <w:p>
      <w:pPr>
        <w:spacing w:after="160"/>
      </w:pPr>
    </w:p>
    <w:tbl>
      <w:tblPr>
        <w:tblW w:type="dxa" w:w="9360"/>
        <w:tblBorders>
          <w:top w:val="single" w:color="1B6CA8" w:sz="4"/>
          <w:left w:val="single" w:color="1B6CA8" w:sz="18"/>
          <w:bottom w:val="single" w:color="1B6CA8" w:sz="4"/>
          <w:right w:val="single" w:color="1B6CA8" w:sz="4"/>
          <w:insideH w:val="none"/>
          <w:insideV w:val="none"/>
        </w:tblBorders>
      </w:tblPr>
      <w:tblGrid>
        <w:gridCol w:w="9360"/>
      </w:tblGrid>
      <w:tr>
        <w:tc>
          <w:tcPr>
            <w:tcW w:type="dxa" w:w="9360"/>
            <w:shd w:fill="F2F5F8" w:color="auto" w:val="clear"/>
            <w:tcMar>
              <w:top w:type="dxa" w:w="140"/>
              <w:left w:type="dxa" w:w="160"/>
              <w:bottom w:type="dxa" w:w="140"/>
              <w:right w:type="dxa" w:w="160"/>
            </w:tcMar>
          </w:tcPr>
          <w:p>
            <w:pPr>
              <w:spacing w:after="60"/>
            </w:pPr>
            <w:r>
              <w:rPr>
                <w:rFonts w:ascii="Calibri" w:cs="Calibri" w:eastAsia="Calibri" w:hAnsi="Calibri"/>
                <w:b/>
                <w:bCs/>
                <w:color w:val="1B6CA8"/>
                <w:sz w:val="19"/>
                <w:szCs w:val="19"/>
              </w:rPr>
              <w:t xml:space="preserve">POURQUOI LE RÔLE OBSERVER EST IMPLÉMENTÉ À PART</w:t>
            </w:r>
          </w:p>
          <w:p>
            <w:pPr>
              <w:spacing w:after="0" w:line="270"/>
            </w:pPr>
            <w:r>
              <w:rPr>
                <w:rFonts w:ascii="Calibri" w:cs="Calibri" w:eastAsia="Calibri" w:hAnsi="Calibri"/>
                <w:sz w:val="19"/>
                <w:szCs w:val="19"/>
              </w:rPr>
              <w:t xml:space="preserve">Le rôle observer doit reposer sur des endpoints et des vues distincts, pas sur un simple masquage d'affichage. Tant que l'agence n'accède qu'à des agrégats, aucune convention de confidentialité tripartite n'est nécessaire. Dès qu'un accès nominatif est ouvert, il en faut une — c'est un point à ne pas régler en catastrophe en cours de POC.</w:t>
            </w:r>
          </w:p>
        </w:tc>
      </w:tr>
    </w:tbl>
    <w:p>
      <w:r>
        <w:br w:type="page"/>
      </w:r>
    </w:p>
    <w:p>
      <w:pPr>
        <w:pStyle w:val="Heading1"/>
        <w:spacing w:after="200" w:before="360"/>
      </w:pPr>
      <w:r>
        <w:rPr>
          <w:rFonts w:ascii="Calibri" w:cs="Calibri" w:eastAsia="Calibri" w:hAnsi="Calibri"/>
          <w:b/>
          <w:bCs/>
          <w:color w:val="0B2545"/>
          <w:sz w:val="30"/>
          <w:szCs w:val="30"/>
        </w:rPr>
        <w:t xml:space="preserve">4. Modèle de données</w:t>
      </w:r>
    </w:p>
    <w:tbl>
      <w:tblPr>
        <w:tblW w:type="dxa" w:w="9360"/>
        <w:tblBorders>
          <w:top w:val="none"/>
          <w:left w:val="none"/>
          <w:bottom w:val="none"/>
          <w:right w:val="none"/>
          <w:insideH w:val="none"/>
          <w:insideV w:val="none"/>
        </w:tblBorders>
      </w:tblPr>
      <w:tblGrid>
        <w:gridCol w:w="9360"/>
      </w:tblGrid>
      <w:tr>
        <w:tc>
          <w:tcPr>
            <w:tcW w:type="dxa" w:w="9360"/>
            <w:shd w:fill="1E2A38" w:color="auto" w:val="clear"/>
            <w:tcMar>
              <w:top w:type="dxa" w:w="140"/>
              <w:left w:type="dxa" w:w="180"/>
              <w:bottom w:type="dxa" w:w="140"/>
              <w:right w:type="dxa" w:w="140"/>
            </w:tcMar>
          </w:tcPr>
          <w:p>
            <w:pPr>
              <w:spacing w:after="0" w:line="250"/>
            </w:pPr>
            <w:r>
              <w:rPr>
                <w:rFonts w:ascii="Consolas" w:cs="Consolas" w:eastAsia="Consolas" w:hAnsi="Consolas"/>
                <w:color w:val="D6E4F0"/>
                <w:sz w:val="17"/>
                <w:szCs w:val="17"/>
              </w:rPr>
              <w:t xml:space="preserve">tenants (id, slug, name, domain, settings jsonb, created_at)</w:t>
            </w:r>
          </w:p>
          <w:p>
            <w:pPr>
              <w:spacing w:after="0" w:line="250"/>
            </w:pPr>
            <w:r>
              <w:rPr>
                <w:rFonts w:ascii="Consolas" w:cs="Consolas" w:eastAsia="Consolas" w:hAnsi="Consolas"/>
                <w:color w:val="D6E4F0"/>
                <w:sz w:val="17"/>
                <w:szCs w:val="17"/>
              </w:rPr>
              <w:t xml:space="preserve"> </w:t>
            </w:r>
          </w:p>
          <w:p>
            <w:pPr>
              <w:spacing w:after="0" w:line="250"/>
            </w:pPr>
            <w:r>
              <w:rPr>
                <w:rFonts w:ascii="Consolas" w:cs="Consolas" w:eastAsia="Consolas" w:hAnsi="Consolas"/>
                <w:color w:val="D6E4F0"/>
                <w:sz w:val="17"/>
                <w:szCs w:val="17"/>
              </w:rPr>
              <w:t xml:space="preserve">users (id, tenant_id, name, email, password, role, is_active)</w:t>
            </w:r>
          </w:p>
          <w:p>
            <w:pPr>
              <w:spacing w:after="0" w:line="250"/>
            </w:pPr>
            <w:r>
              <w:rPr>
                <w:rFonts w:ascii="Consolas" w:cs="Consolas" w:eastAsia="Consolas" w:hAnsi="Consolas"/>
                <w:color w:val="D6E4F0"/>
                <w:sz w:val="17"/>
                <w:szCs w:val="17"/>
              </w:rPr>
              <w:t xml:space="preserve"> </w:t>
            </w:r>
          </w:p>
          <w:p>
            <w:pPr>
              <w:spacing w:after="0" w:line="250"/>
            </w:pPr>
            <w:r>
              <w:rPr>
                <w:rFonts w:ascii="Consolas" w:cs="Consolas" w:eastAsia="Consolas" w:hAnsi="Consolas"/>
                <w:color w:val="D6E4F0"/>
                <w:sz w:val="17"/>
                <w:szCs w:val="17"/>
              </w:rPr>
              <w:t xml:space="preserve">contacts (</w:t>
            </w:r>
          </w:p>
          <w:p>
            <w:pPr>
              <w:spacing w:after="0" w:line="250"/>
            </w:pPr>
            <w:r>
              <w:rPr>
                <w:rFonts w:ascii="Consolas" w:cs="Consolas" w:eastAsia="Consolas" w:hAnsi="Consolas"/>
                <w:color w:val="D6E4F0"/>
                <w:sz w:val="17"/>
                <w:szCs w:val="17"/>
              </w:rPr>
              <w:t xml:space="preserve">  id, tenant_id,</w:t>
            </w:r>
          </w:p>
          <w:p>
            <w:pPr>
              <w:spacing w:after="0" w:line="250"/>
            </w:pPr>
            <w:r>
              <w:rPr>
                <w:rFonts w:ascii="Consolas" w:cs="Consolas" w:eastAsia="Consolas" w:hAnsi="Consolas"/>
                <w:color w:val="D6E4F0"/>
                <w:sz w:val="17"/>
                <w:szCs w:val="17"/>
              </w:rPr>
              <w:t xml:space="preserve">  first_name, last_name, phone_e164, email, preferred_channel, language,</w:t>
            </w:r>
          </w:p>
          <w:p>
            <w:pPr>
              <w:spacing w:after="0" w:line="250"/>
            </w:pPr>
            <w:r>
              <w:rPr>
                <w:rFonts w:ascii="Consolas" w:cs="Consolas" w:eastAsia="Consolas" w:hAnsi="Consolas"/>
                <w:color w:val="D6E4F0"/>
                <w:sz w:val="17"/>
                <w:szCs w:val="17"/>
              </w:rPr>
              <w:t xml:space="preserve">  country, city, is_diaspora boolean,</w:t>
            </w:r>
          </w:p>
          <w:p>
            <w:pPr>
              <w:spacing w:after="0" w:line="250"/>
            </w:pPr>
            <w:r>
              <w:rPr>
                <w:rFonts w:ascii="Consolas" w:cs="Consolas" w:eastAsia="Consolas" w:hAnsi="Consolas"/>
                <w:color w:val="D6E4F0"/>
                <w:sz w:val="17"/>
                <w:szCs w:val="17"/>
              </w:rPr>
              <w:t xml:space="preserve">  property_type, district, budget_min, budget_max, decision_horizon, purpose,</w:t>
            </w:r>
          </w:p>
          <w:p>
            <w:pPr>
              <w:spacing w:after="0" w:line="250"/>
            </w:pPr>
            <w:r>
              <w:rPr>
                <w:rFonts w:ascii="Consolas" w:cs="Consolas" w:eastAsia="Consolas" w:hAnsi="Consolas"/>
                <w:color w:val="D6E4F0"/>
                <w:sz w:val="17"/>
                <w:szCs w:val="17"/>
              </w:rPr>
              <w:t xml:space="preserve">  source_id NOT NULL, sub_source, referrer_id,</w:t>
            </w:r>
          </w:p>
          <w:p>
            <w:pPr>
              <w:spacing w:after="0" w:line="250"/>
            </w:pPr>
            <w:r>
              <w:rPr>
                <w:rFonts w:ascii="Consolas" w:cs="Consolas" w:eastAsia="Consolas" w:hAnsi="Consolas"/>
                <w:color w:val="D6E4F0"/>
                <w:sz w:val="17"/>
                <w:szCs w:val="17"/>
              </w:rPr>
              <w:t xml:space="preserve">  utm_source, utm_medium, utm_campaign, landing_page,</w:t>
            </w:r>
          </w:p>
          <w:p>
            <w:pPr>
              <w:spacing w:after="0" w:line="250"/>
            </w:pPr>
            <w:r>
              <w:rPr>
                <w:rFonts w:ascii="Consolas" w:cs="Consolas" w:eastAsia="Consolas" w:hAnsi="Consolas"/>
                <w:color w:val="D6E4F0"/>
                <w:sz w:val="17"/>
                <w:szCs w:val="17"/>
              </w:rPr>
              <w:t xml:space="preserve">  assigned_to, status, potential_score,</w:t>
            </w:r>
          </w:p>
          <w:p>
            <w:pPr>
              <w:spacing w:after="0" w:line="250"/>
            </w:pPr>
            <w:r>
              <w:rPr>
                <w:rFonts w:ascii="Consolas" w:cs="Consolas" w:eastAsia="Consolas" w:hAnsi="Consolas"/>
                <w:color w:val="D6E4F0"/>
                <w:sz w:val="17"/>
                <w:szCs w:val="17"/>
              </w:rPr>
              <w:t xml:space="preserve">  -- qualification : 4 conditions, chacune horodatee</w:t>
            </w:r>
          </w:p>
          <w:p>
            <w:pPr>
              <w:spacing w:after="0" w:line="250"/>
            </w:pPr>
            <w:r>
              <w:rPr>
                <w:rFonts w:ascii="Consolas" w:cs="Consolas" w:eastAsia="Consolas" w:hAnsi="Consolas"/>
                <w:color w:val="D6E4F0"/>
                <w:sz w:val="17"/>
                <w:szCs w:val="17"/>
              </w:rPr>
              <w:t xml:space="preserve">  q_replied_at, q_project_at, q_budget_at, q_source_at,</w:t>
            </w:r>
          </w:p>
          <w:p>
            <w:pPr>
              <w:spacing w:after="0" w:line="250"/>
            </w:pPr>
            <w:r>
              <w:rPr>
                <w:rFonts w:ascii="Consolas" w:cs="Consolas" w:eastAsia="Consolas" w:hAnsi="Consolas"/>
                <w:color w:val="D6E4F0"/>
                <w:sz w:val="17"/>
                <w:szCs w:val="17"/>
              </w:rPr>
              <w:t xml:space="preserve">  qualified_at,              -- calcule, jamais ecrit a la main</w:t>
            </w:r>
          </w:p>
          <w:p>
            <w:pPr>
              <w:spacing w:after="0" w:line="250"/>
            </w:pPr>
            <w:r>
              <w:rPr>
                <w:rFonts w:ascii="Consolas" w:cs="Consolas" w:eastAsia="Consolas" w:hAnsi="Consolas"/>
                <w:color w:val="D6E4F0"/>
                <w:sz w:val="17"/>
                <w:szCs w:val="17"/>
              </w:rPr>
              <w:t xml:space="preserve">  -- compteur de premiere reponse</w:t>
            </w:r>
          </w:p>
          <w:p>
            <w:pPr>
              <w:spacing w:after="0" w:line="250"/>
            </w:pPr>
            <w:r>
              <w:rPr>
                <w:rFonts w:ascii="Consolas" w:cs="Consolas" w:eastAsia="Consolas" w:hAnsi="Consolas"/>
                <w:color w:val="D6E4F0"/>
                <w:sz w:val="17"/>
                <w:szCs w:val="17"/>
              </w:rPr>
              <w:t xml:space="preserve">  first_response_at, first_response_minutes int,</w:t>
            </w:r>
          </w:p>
          <w:p>
            <w:pPr>
              <w:spacing w:after="0" w:line="250"/>
            </w:pPr>
            <w:r>
              <w:rPr>
                <w:rFonts w:ascii="Consolas" w:cs="Consolas" w:eastAsia="Consolas" w:hAnsi="Consolas"/>
                <w:color w:val="D6E4F0"/>
                <w:sz w:val="17"/>
                <w:szCs w:val="17"/>
              </w:rPr>
              <w:t xml:space="preserve">  last_activity_at, next_action_at,</w:t>
            </w:r>
          </w:p>
          <w:p>
            <w:pPr>
              <w:spacing w:after="0" w:line="250"/>
            </w:pPr>
            <w:r>
              <w:rPr>
                <w:rFonts w:ascii="Consolas" w:cs="Consolas" w:eastAsia="Consolas" w:hAnsi="Consolas"/>
                <w:color w:val="D6E4F0"/>
                <w:sz w:val="17"/>
                <w:szCs w:val="17"/>
              </w:rPr>
              <w:t xml:space="preserve">  consent_at, consent_source,</w:t>
            </w:r>
          </w:p>
          <w:p>
            <w:pPr>
              <w:spacing w:after="0" w:line="250"/>
            </w:pPr>
            <w:r>
              <w:rPr>
                <w:rFonts w:ascii="Consolas" w:cs="Consolas" w:eastAsia="Consolas" w:hAnsi="Consolas"/>
                <w:color w:val="D6E4F0"/>
                <w:sz w:val="17"/>
                <w:szCs w:val="17"/>
              </w:rPr>
              <w:t xml:space="preserve">  created_at, updated_at</w:t>
            </w:r>
          </w:p>
          <w:p>
            <w:pPr>
              <w:spacing w:after="0" w:line="250"/>
            </w:pPr>
            <w:r>
              <w:rPr>
                <w:rFonts w:ascii="Consolas" w:cs="Consolas" w:eastAsia="Consolas" w:hAnsi="Consolas"/>
                <w:color w:val="D6E4F0"/>
                <w:sz w:val="17"/>
                <w:szCs w:val="17"/>
              </w:rPr>
              <w:t xml:space="preserve">)</w:t>
            </w:r>
          </w:p>
          <w:p>
            <w:pPr>
              <w:spacing w:after="0" w:line="250"/>
            </w:pPr>
            <w:r>
              <w:rPr>
                <w:rFonts w:ascii="Consolas" w:cs="Consolas" w:eastAsia="Consolas" w:hAnsi="Consolas"/>
                <w:color w:val="D6E4F0"/>
                <w:sz w:val="17"/>
                <w:szCs w:val="17"/>
              </w:rPr>
              <w:t xml:space="preserve">UNIQUE (tenant_id, phone_e164) WHERE phone_e164 IS NOT NULL</w:t>
            </w:r>
          </w:p>
          <w:p>
            <w:pPr>
              <w:spacing w:after="0" w:line="250"/>
            </w:pPr>
            <w:r>
              <w:rPr>
                <w:rFonts w:ascii="Consolas" w:cs="Consolas" w:eastAsia="Consolas" w:hAnsi="Consolas"/>
                <w:color w:val="D6E4F0"/>
                <w:sz w:val="17"/>
                <w:szCs w:val="17"/>
              </w:rPr>
              <w:t xml:space="preserve">UNIQUE (tenant_id, email)      WHERE email IS NOT NULL</w:t>
            </w:r>
          </w:p>
          <w:p>
            <w:pPr>
              <w:spacing w:after="0" w:line="250"/>
            </w:pPr>
            <w:r>
              <w:rPr>
                <w:rFonts w:ascii="Consolas" w:cs="Consolas" w:eastAsia="Consolas" w:hAnsi="Consolas"/>
                <w:color w:val="D6E4F0"/>
                <w:sz w:val="17"/>
                <w:szCs w:val="17"/>
              </w:rPr>
              <w:t xml:space="preserve">INDEX  (tenant_id, status)</w:t>
            </w:r>
          </w:p>
          <w:p>
            <w:pPr>
              <w:spacing w:after="0" w:line="250"/>
            </w:pPr>
            <w:r>
              <w:rPr>
                <w:rFonts w:ascii="Consolas" w:cs="Consolas" w:eastAsia="Consolas" w:hAnsi="Consolas"/>
                <w:color w:val="D6E4F0"/>
                <w:sz w:val="17"/>
                <w:szCs w:val="17"/>
              </w:rPr>
              <w:t xml:space="preserve">INDEX  (tenant_id, assigned_to, next_action_at)</w:t>
            </w:r>
          </w:p>
          <w:p>
            <w:pPr>
              <w:spacing w:after="0" w:line="250"/>
            </w:pPr>
            <w:r>
              <w:rPr>
                <w:rFonts w:ascii="Consolas" w:cs="Consolas" w:eastAsia="Consolas" w:hAnsi="Consolas"/>
                <w:color w:val="D6E4F0"/>
                <w:sz w:val="17"/>
                <w:szCs w:val="17"/>
              </w:rPr>
              <w:t xml:space="preserve"> </w:t>
            </w:r>
          </w:p>
          <w:p>
            <w:pPr>
              <w:spacing w:after="0" w:line="250"/>
            </w:pPr>
            <w:r>
              <w:rPr>
                <w:rFonts w:ascii="Consolas" w:cs="Consolas" w:eastAsia="Consolas" w:hAnsi="Consolas"/>
                <w:color w:val="D6E4F0"/>
                <w:sz w:val="17"/>
                <w:szCs w:val="17"/>
              </w:rPr>
              <w:t xml:space="preserve">sources   (id, tenant_id, channel, label, is_active)</w:t>
            </w:r>
          </w:p>
          <w:p>
            <w:pPr>
              <w:spacing w:after="0" w:line="250"/>
            </w:pPr>
            <w:r>
              <w:rPr>
                <w:rFonts w:ascii="Consolas" w:cs="Consolas" w:eastAsia="Consolas" w:hAnsi="Consolas"/>
                <w:color w:val="D6E4F0"/>
                <w:sz w:val="17"/>
                <w:szCs w:val="17"/>
              </w:rPr>
              <w:t xml:space="preserve">referrers (id, tenant_id, name, type, organisation, phone, email)</w:t>
            </w:r>
          </w:p>
          <w:p>
            <w:pPr>
              <w:spacing w:after="0" w:line="250"/>
            </w:pPr>
            <w:r>
              <w:rPr>
                <w:rFonts w:ascii="Consolas" w:cs="Consolas" w:eastAsia="Consolas" w:hAnsi="Consolas"/>
                <w:color w:val="D6E4F0"/>
                <w:sz w:val="17"/>
                <w:szCs w:val="17"/>
              </w:rPr>
              <w:t xml:space="preserve"> </w:t>
            </w:r>
          </w:p>
          <w:p>
            <w:pPr>
              <w:spacing w:after="0" w:line="250"/>
            </w:pPr>
            <w:r>
              <w:rPr>
                <w:rFonts w:ascii="Consolas" w:cs="Consolas" w:eastAsia="Consolas" w:hAnsi="Consolas"/>
                <w:color w:val="D6E4F0"/>
                <w:sz w:val="17"/>
                <w:szCs w:val="17"/>
              </w:rPr>
              <w:t xml:space="preserve">status_history (id, tenant_id, contact_id, from_status, to_status,</w:t>
            </w:r>
          </w:p>
          <w:p>
            <w:pPr>
              <w:spacing w:after="0" w:line="250"/>
            </w:pPr>
            <w:r>
              <w:rPr>
                <w:rFonts w:ascii="Consolas" w:cs="Consolas" w:eastAsia="Consolas" w:hAnsi="Consolas"/>
                <w:color w:val="D6E4F0"/>
                <w:sz w:val="17"/>
                <w:szCs w:val="17"/>
              </w:rPr>
              <w:t xml:space="preserve">                reason, user_id, changed_at)</w:t>
            </w:r>
          </w:p>
          <w:p>
            <w:pPr>
              <w:spacing w:after="0" w:line="250"/>
            </w:pPr>
            <w:r>
              <w:rPr>
                <w:rFonts w:ascii="Consolas" w:cs="Consolas" w:eastAsia="Consolas" w:hAnsi="Consolas"/>
                <w:color w:val="D6E4F0"/>
                <w:sz w:val="17"/>
                <w:szCs w:val="17"/>
              </w:rPr>
              <w:t xml:space="preserve"> </w:t>
            </w:r>
          </w:p>
          <w:p>
            <w:pPr>
              <w:spacing w:after="0" w:line="250"/>
            </w:pPr>
            <w:r>
              <w:rPr>
                <w:rFonts w:ascii="Consolas" w:cs="Consolas" w:eastAsia="Consolas" w:hAnsi="Consolas"/>
                <w:color w:val="D6E4F0"/>
                <w:sz w:val="17"/>
                <w:szCs w:val="17"/>
              </w:rPr>
              <w:t xml:space="preserve">activities (id, tenant_id, contact_id, user_id, type, channel, body, occurred_at)</w:t>
            </w:r>
          </w:p>
          <w:p>
            <w:pPr>
              <w:spacing w:after="0" w:line="250"/>
            </w:pPr>
            <w:r>
              <w:rPr>
                <w:rFonts w:ascii="Consolas" w:cs="Consolas" w:eastAsia="Consolas" w:hAnsi="Consolas"/>
                <w:color w:val="D6E4F0"/>
                <w:sz w:val="17"/>
                <w:szCs w:val="17"/>
              </w:rPr>
              <w:t xml:space="preserve"> </w:t>
            </w:r>
          </w:p>
          <w:p>
            <w:pPr>
              <w:spacing w:after="0" w:line="250"/>
            </w:pPr>
            <w:r>
              <w:rPr>
                <w:rFonts w:ascii="Consolas" w:cs="Consolas" w:eastAsia="Consolas" w:hAnsi="Consolas"/>
                <w:color w:val="D6E4F0"/>
                <w:sz w:val="17"/>
                <w:szCs w:val="17"/>
              </w:rPr>
              <w:t xml:space="preserve">properties (id, tenant_id, name, location, property_type, price_min, price_max,</w:t>
            </w:r>
          </w:p>
          <w:p>
            <w:pPr>
              <w:spacing w:after="0" w:line="250"/>
            </w:pPr>
            <w:r>
              <w:rPr>
                <w:rFonts w:ascii="Consolas" w:cs="Consolas" w:eastAsia="Consolas" w:hAnsi="Consolas"/>
                <w:color w:val="D6E4F0"/>
                <w:sz w:val="17"/>
                <w:szCs w:val="17"/>
              </w:rPr>
              <w:t xml:space="preserve">            delivery_date, status, landing_page_url)</w:t>
            </w:r>
          </w:p>
          <w:p>
            <w:pPr>
              <w:spacing w:after="0" w:line="250"/>
            </w:pPr>
            <w:r>
              <w:rPr>
                <w:rFonts w:ascii="Consolas" w:cs="Consolas" w:eastAsia="Consolas" w:hAnsi="Consolas"/>
                <w:color w:val="D6E4F0"/>
                <w:sz w:val="17"/>
                <w:szCs w:val="17"/>
              </w:rPr>
              <w:t xml:space="preserve">units      (id, tenant_id, property_id, reference, area, price, status)</w:t>
            </w:r>
          </w:p>
          <w:p>
            <w:pPr>
              <w:spacing w:after="0" w:line="250"/>
            </w:pPr>
            <w:r>
              <w:rPr>
                <w:rFonts w:ascii="Consolas" w:cs="Consolas" w:eastAsia="Consolas" w:hAnsi="Consolas"/>
                <w:color w:val="D6E4F0"/>
                <w:sz w:val="17"/>
                <w:szCs w:val="17"/>
              </w:rPr>
              <w:t xml:space="preserve">contact_property (contact_id, property_id, interest_level)</w:t>
            </w:r>
          </w:p>
          <w:p>
            <w:pPr>
              <w:spacing w:after="0" w:line="250"/>
            </w:pPr>
            <w:r>
              <w:rPr>
                <w:rFonts w:ascii="Consolas" w:cs="Consolas" w:eastAsia="Consolas" w:hAnsi="Consolas"/>
                <w:color w:val="D6E4F0"/>
                <w:sz w:val="17"/>
                <w:szCs w:val="17"/>
              </w:rPr>
              <w:t xml:space="preserve"> </w:t>
            </w:r>
          </w:p>
          <w:p>
            <w:pPr>
              <w:spacing w:after="0" w:line="250"/>
            </w:pPr>
            <w:r>
              <w:rPr>
                <w:rFonts w:ascii="Consolas" w:cs="Consolas" w:eastAsia="Consolas" w:hAnsi="Consolas"/>
                <w:color w:val="D6E4F0"/>
                <w:sz w:val="17"/>
                <w:szCs w:val="17"/>
              </w:rPr>
              <w:t xml:space="preserve">sequences (id, tenant_id, key, name, trigger, steps jsonb, is_active)</w:t>
            </w:r>
          </w:p>
          <w:p>
            <w:pPr>
              <w:spacing w:after="0" w:line="250"/>
            </w:pPr>
            <w:r>
              <w:rPr>
                <w:rFonts w:ascii="Consolas" w:cs="Consolas" w:eastAsia="Consolas" w:hAnsi="Consolas"/>
                <w:color w:val="D6E4F0"/>
                <w:sz w:val="17"/>
                <w:szCs w:val="17"/>
              </w:rPr>
              <w:t xml:space="preserve">sequence_enrollments (id, tenant_id, contact_id, sequence_id, current_step,</w:t>
            </w:r>
          </w:p>
          <w:p>
            <w:pPr>
              <w:spacing w:after="0" w:line="250"/>
            </w:pPr>
            <w:r>
              <w:rPr>
                <w:rFonts w:ascii="Consolas" w:cs="Consolas" w:eastAsia="Consolas" w:hAnsi="Consolas"/>
                <w:color w:val="D6E4F0"/>
                <w:sz w:val="17"/>
                <w:szCs w:val="17"/>
              </w:rPr>
              <w:t xml:space="preserve">                      next_run_at, status, enrolled_at, stopped_at, stop_reason)</w:t>
            </w:r>
          </w:p>
          <w:p>
            <w:pPr>
              <w:spacing w:after="0" w:line="250"/>
            </w:pPr>
            <w:r>
              <w:rPr>
                <w:rFonts w:ascii="Consolas" w:cs="Consolas" w:eastAsia="Consolas" w:hAnsi="Consolas"/>
                <w:color w:val="D6E4F0"/>
                <w:sz w:val="17"/>
                <w:szCs w:val="17"/>
              </w:rPr>
              <w:t xml:space="preserve">message_log (id, tenant_id, contact_id, channel, template, provider_id,</w:t>
            </w:r>
          </w:p>
          <w:p>
            <w:pPr>
              <w:spacing w:after="0" w:line="250"/>
            </w:pPr>
            <w:r>
              <w:rPr>
                <w:rFonts w:ascii="Consolas" w:cs="Consolas" w:eastAsia="Consolas" w:hAnsi="Consolas"/>
                <w:color w:val="D6E4F0"/>
                <w:sz w:val="17"/>
                <w:szCs w:val="17"/>
              </w:rPr>
              <w:t xml:space="preserve">             status, sent_at, delivered_at, error)</w:t>
            </w:r>
          </w:p>
          <w:p>
            <w:pPr>
              <w:spacing w:after="0" w:line="250"/>
            </w:pPr>
            <w:r>
              <w:rPr>
                <w:rFonts w:ascii="Consolas" w:cs="Consolas" w:eastAsia="Consolas" w:hAnsi="Consolas"/>
                <w:color w:val="D6E4F0"/>
                <w:sz w:val="17"/>
                <w:szCs w:val="17"/>
              </w:rPr>
              <w:t xml:space="preserve"> </w:t>
            </w:r>
          </w:p>
          <w:p>
            <w:pPr>
              <w:spacing w:after="0" w:line="250"/>
            </w:pPr>
            <w:r>
              <w:rPr>
                <w:rFonts w:ascii="Consolas" w:cs="Consolas" w:eastAsia="Consolas" w:hAnsi="Consolas"/>
                <w:color w:val="D6E4F0"/>
                <w:sz w:val="17"/>
                <w:szCs w:val="17"/>
              </w:rPr>
              <w:t xml:space="preserve">targets (tenant_id, metric, month, expected_cumulative)</w:t>
            </w:r>
          </w:p>
        </w:tc>
      </w:tr>
    </w:tbl>
    <w:p>
      <w:pPr>
        <w:spacing w:after="160"/>
      </w:pPr>
    </w:p>
    <w:tbl>
      <w:tblPr>
        <w:tblW w:type="dxa" w:w="9360"/>
        <w:tblBorders>
          <w:top w:val="single" w:color="1B6CA8" w:sz="4"/>
          <w:left w:val="single" w:color="1B6CA8" w:sz="18"/>
          <w:bottom w:val="single" w:color="1B6CA8" w:sz="4"/>
          <w:right w:val="single" w:color="1B6CA8" w:sz="4"/>
          <w:insideH w:val="none"/>
          <w:insideV w:val="none"/>
        </w:tblBorders>
      </w:tblPr>
      <w:tblGrid>
        <w:gridCol w:w="9360"/>
      </w:tblGrid>
      <w:tr>
        <w:tc>
          <w:tcPr>
            <w:tcW w:type="dxa" w:w="9360"/>
            <w:shd w:fill="F2F5F8" w:color="auto" w:val="clear"/>
            <w:tcMar>
              <w:top w:type="dxa" w:w="140"/>
              <w:left w:type="dxa" w:w="160"/>
              <w:bottom w:type="dxa" w:w="140"/>
              <w:right w:type="dxa" w:w="160"/>
            </w:tcMar>
          </w:tcPr>
          <w:p>
            <w:pPr>
              <w:spacing w:after="60"/>
            </w:pPr>
            <w:r>
              <w:rPr>
                <w:rFonts w:ascii="Calibri" w:cs="Calibri" w:eastAsia="Calibri" w:hAnsi="Calibri"/>
                <w:b/>
                <w:bCs/>
                <w:color w:val="1B6CA8"/>
                <w:sz w:val="19"/>
                <w:szCs w:val="19"/>
              </w:rPr>
              <w:t xml:space="preserve">STATUS_HISTORY EST LA SOURCE DE VÉRITÉ</w:t>
            </w:r>
          </w:p>
          <w:p>
            <w:pPr>
              <w:spacing w:after="0" w:line="270"/>
            </w:pPr>
            <w:r>
              <w:rPr>
                <w:rFonts w:ascii="Calibri" w:cs="Calibri" w:eastAsia="Calibri" w:hAnsi="Calibri"/>
                <w:sz w:val="19"/>
                <w:szCs w:val="19"/>
              </w:rPr>
              <w:t xml:space="preserve">Les taux de passage se calculent uniquement depuis status_history, jamais depuis contacts.status. Sans cet historique, les indicateurs « rendez-vous », « visites » et « réservations » sont incalculables rétroactivement — et le rapport final de POC devient impossible à produire.</w:t>
            </w:r>
          </w:p>
        </w:tc>
      </w:tr>
    </w:tbl>
    <w:p>
      <w:pPr>
        <w:spacing w:after="160"/>
      </w:pPr>
    </w:p>
    <w:p>
      <w:pPr>
        <w:spacing w:after="120" w:line="276"/>
      </w:pPr>
      <w:r>
        <w:rPr>
          <w:rFonts w:ascii="Calibri" w:cs="Calibri" w:eastAsia="Calibri" w:hAnsi="Calibri"/>
          <w:color w:val="222222"/>
          <w:sz w:val="21"/>
          <w:szCs w:val="21"/>
        </w:rPr>
        <w:t xml:space="preserve">Le champ phone_e164 est normalisé à l'insertion avec la région par défaut SN. Sans cette normalisation, la déduplication ne fonctionne pas : 77 123 45 67, +221771234567 et 00221771234567 créeraient trois fiches distinctes.</w:t>
      </w:r>
    </w:p>
    <w:p>
      <w:r>
        <w:br w:type="page"/>
      </w:r>
    </w:p>
    <w:p>
      <w:pPr>
        <w:pStyle w:val="Heading1"/>
        <w:spacing w:after="200" w:before="360"/>
      </w:pPr>
      <w:r>
        <w:rPr>
          <w:rFonts w:ascii="Calibri" w:cs="Calibri" w:eastAsia="Calibri" w:hAnsi="Calibri"/>
          <w:b/>
          <w:bCs/>
          <w:color w:val="0B2545"/>
          <w:sz w:val="30"/>
          <w:szCs w:val="30"/>
        </w:rPr>
        <w:t xml:space="preserve">5. Les quatre fonctions différenciantes</w:t>
      </w:r>
    </w:p>
    <w:p>
      <w:pPr>
        <w:spacing w:after="120" w:line="276"/>
      </w:pPr>
      <w:r>
        <w:rPr>
          <w:rFonts w:ascii="Calibri" w:cs="Calibri" w:eastAsia="Calibri" w:hAnsi="Calibri"/>
          <w:color w:val="222222"/>
          <w:sz w:val="21"/>
          <w:szCs w:val="21"/>
        </w:rPr>
        <w:t xml:space="preserve">Ces quatre mécaniques n'existent dans aucun CRM du marché sous cette forme. Elles portent la démonstration devant le client et doivent être développées avec le plus grand soin, tests en premier.</w:t>
      </w:r>
    </w:p>
    <w:p>
      <w:pPr>
        <w:pStyle w:val="Heading2"/>
        <w:spacing w:after="140" w:before="260"/>
      </w:pPr>
      <w:r>
        <w:rPr>
          <w:rFonts w:ascii="Calibri" w:cs="Calibri" w:eastAsia="Calibri" w:hAnsi="Calibri"/>
          <w:b/>
          <w:bCs/>
          <w:color w:val="1B6CA8"/>
          <w:sz w:val="24"/>
          <w:szCs w:val="24"/>
        </w:rPr>
        <w:t xml:space="preserve">5.1 Source obligatoire</w:t>
      </w:r>
    </w:p>
    <w:p>
      <w:pPr>
        <w:pStyle w:val="ListParagraph"/>
        <w:numPr>
          <w:ilvl w:val="0"/>
          <w:numId w:val="2"/>
        </w:numPr>
        <w:spacing w:after="60" w:line="276"/>
      </w:pPr>
      <w:r>
        <w:rPr>
          <w:rFonts w:ascii="Calibri" w:cs="Calibri" w:eastAsia="Calibri" w:hAnsi="Calibri"/>
          <w:sz w:val="21"/>
          <w:szCs w:val="21"/>
        </w:rPr>
        <w:t xml:space="preserve">Colonne source_id NOT NULL en base de données, et pas seulement en validation applicative.</w:t>
      </w:r>
    </w:p>
    <w:p>
      <w:pPr>
        <w:pStyle w:val="ListParagraph"/>
        <w:numPr>
          <w:ilvl w:val="0"/>
          <w:numId w:val="2"/>
        </w:numPr>
        <w:spacing w:after="60" w:line="276"/>
      </w:pPr>
      <w:r>
        <w:rPr>
          <w:rFonts w:ascii="Calibri" w:cs="Calibri" w:eastAsia="Calibri" w:hAnsi="Calibri"/>
          <w:sz w:val="21"/>
          <w:szCs w:val="21"/>
        </w:rPr>
        <w:t xml:space="preserve">S'applique également à la saisie manuelle et à l'import CSV. Aucune exception, aucune valeur par défaut.</w:t>
      </w:r>
    </w:p>
    <w:p>
      <w:pPr>
        <w:pStyle w:val="ListParagraph"/>
        <w:numPr>
          <w:ilvl w:val="0"/>
          <w:numId w:val="2"/>
        </w:numPr>
        <w:spacing w:after="60" w:line="276"/>
      </w:pPr>
      <w:r>
        <w:rPr>
          <w:rFonts w:ascii="Calibri" w:cs="Calibri" w:eastAsia="Calibri" w:hAnsi="Calibri"/>
          <w:sz w:val="21"/>
          <w:szCs w:val="21"/>
        </w:rPr>
        <w:t xml:space="preserve">Capture des paramètres UTM depuis le referrer du formulaire.</w:t>
      </w:r>
    </w:p>
    <w:p>
      <w:pPr>
        <w:pStyle w:val="ListParagraph"/>
        <w:numPr>
          <w:ilvl w:val="0"/>
          <w:numId w:val="2"/>
        </w:numPr>
        <w:spacing w:after="60" w:line="276"/>
      </w:pPr>
      <w:r>
        <w:rPr>
          <w:rFonts w:ascii="Calibri" w:cs="Calibri" w:eastAsia="Calibri" w:hAnsi="Calibri"/>
          <w:sz w:val="21"/>
          <w:szCs w:val="21"/>
        </w:rPr>
        <w:t xml:space="preserve">Pour WhatsApp, message pré-rempli différencié par page d'origine (suffixe de référence) — c'est la seule façon de tracer un contact WhatsApp.</w:t>
      </w:r>
    </w:p>
    <w:p>
      <w:pPr>
        <w:pStyle w:val="Heading2"/>
        <w:spacing w:after="140" w:before="260"/>
      </w:pPr>
      <w:r>
        <w:rPr>
          <w:rFonts w:ascii="Calibri" w:cs="Calibri" w:eastAsia="Calibri" w:hAnsi="Calibri"/>
          <w:b/>
          <w:bCs/>
          <w:color w:val="1B6CA8"/>
          <w:sz w:val="24"/>
          <w:szCs w:val="24"/>
        </w:rPr>
        <w:t xml:space="preserve">5.2 Compteur de première réponse</w:t>
      </w:r>
    </w:p>
    <w:tbl>
      <w:tblPr>
        <w:tblW w:type="dxa" w:w="9360"/>
        <w:tblBorders>
          <w:top w:val="none"/>
          <w:left w:val="none"/>
          <w:bottom w:val="none"/>
          <w:right w:val="none"/>
          <w:insideH w:val="none"/>
          <w:insideV w:val="none"/>
        </w:tblBorders>
      </w:tblPr>
      <w:tblGrid>
        <w:gridCol w:w="9360"/>
      </w:tblGrid>
      <w:tr>
        <w:tc>
          <w:tcPr>
            <w:tcW w:type="dxa" w:w="9360"/>
            <w:shd w:fill="1E2A38" w:color="auto" w:val="clear"/>
            <w:tcMar>
              <w:top w:type="dxa" w:w="140"/>
              <w:left w:type="dxa" w:w="180"/>
              <w:bottom w:type="dxa" w:w="140"/>
              <w:right w:type="dxa" w:w="140"/>
            </w:tcMar>
          </w:tcPr>
          <w:p>
            <w:pPr>
              <w:spacing w:after="0" w:line="250"/>
            </w:pPr>
            <w:r>
              <w:rPr>
                <w:rFonts w:ascii="Consolas" w:cs="Consolas" w:eastAsia="Consolas" w:hAnsi="Consolas"/>
                <w:color w:val="D6E4F0"/>
                <w:sz w:val="17"/>
                <w:szCs w:val="17"/>
              </w:rPr>
              <w:t xml:space="preserve">// Demarre a la creation, arrete a la premiere activite sortante</w:t>
            </w:r>
          </w:p>
          <w:p>
            <w:pPr>
              <w:spacing w:after="0" w:line="250"/>
            </w:pPr>
            <w:r>
              <w:rPr>
                <w:rFonts w:ascii="Consolas" w:cs="Consolas" w:eastAsia="Consolas" w:hAnsi="Consolas"/>
                <w:color w:val="D6E4F0"/>
                <w:sz w:val="17"/>
                <w:szCs w:val="17"/>
              </w:rPr>
              <w:t xml:space="preserve">$minutes = BusinessHours::forTenant($tenant)</w:t>
            </w:r>
          </w:p>
          <w:p>
            <w:pPr>
              <w:spacing w:after="0" w:line="250"/>
            </w:pPr>
            <w:r>
              <w:rPr>
                <w:rFonts w:ascii="Consolas" w:cs="Consolas" w:eastAsia="Consolas" w:hAnsi="Consolas"/>
                <w:color w:val="D6E4F0"/>
                <w:sz w:val="17"/>
                <w:szCs w:val="17"/>
              </w:rPr>
              <w:t xml:space="preserve">    -&gt;diffInMinutes($contact-&gt;created_at, $respondedAt);</w:t>
            </w:r>
          </w:p>
        </w:tc>
      </w:tr>
    </w:tbl>
    <w:p>
      <w:pPr>
        <w:spacing w:after="160"/>
      </w:pPr>
    </w:p>
    <w:p>
      <w:pPr>
        <w:pStyle w:val="ListParagraph"/>
        <w:numPr>
          <w:ilvl w:val="0"/>
          <w:numId w:val="2"/>
        </w:numPr>
        <w:spacing w:after="60" w:line="276"/>
      </w:pPr>
      <w:r>
        <w:rPr>
          <w:rFonts w:ascii="Calibri" w:cs="Calibri" w:eastAsia="Calibri" w:hAnsi="Calibri"/>
          <w:sz w:val="21"/>
          <w:szCs w:val="21"/>
        </w:rPr>
        <w:t xml:space="preserve">Heures ouvrées, jamais heures calendaires. Calendrier paramétrable par tenant : jours ouvrés, plage horaire, fuseau Africa/Dakar.</w:t>
      </w:r>
    </w:p>
    <w:p>
      <w:pPr>
        <w:pStyle w:val="ListParagraph"/>
        <w:numPr>
          <w:ilvl w:val="0"/>
          <w:numId w:val="2"/>
        </w:numPr>
        <w:spacing w:after="60" w:line="276"/>
      </w:pPr>
      <w:r>
        <w:rPr>
          <w:rFonts w:ascii="Calibri" w:cs="Calibri" w:eastAsia="Calibri" w:hAnsi="Calibri"/>
          <w:sz w:val="21"/>
          <w:szCs w:val="21"/>
        </w:rPr>
        <w:t xml:space="preserve">Job planifié toutes les quinze minutes : alerte si un contact dépasse le seuil sans réponse.</w:t>
      </w:r>
    </w:p>
    <w:p>
      <w:pPr>
        <w:pStyle w:val="ListParagraph"/>
        <w:numPr>
          <w:ilvl w:val="0"/>
          <w:numId w:val="2"/>
        </w:numPr>
        <w:spacing w:after="60" w:line="276"/>
      </w:pPr>
      <w:r>
        <w:rPr>
          <w:rFonts w:ascii="Calibri" w:cs="Calibri" w:eastAsia="Calibri" w:hAnsi="Calibri"/>
          <w:sz w:val="21"/>
          <w:szCs w:val="21"/>
        </w:rPr>
        <w:t xml:space="preserve">Agrégat exposé en moyenne et en médiane — la moyenne se fait détruire par une seule valeur aberrante.</w:t>
      </w:r>
    </w:p>
    <w:p>
      <w:pPr>
        <w:spacing w:after="160"/>
      </w:pPr>
    </w:p>
    <w:tbl>
      <w:tblPr>
        <w:tblW w:type="dxa" w:w="9360"/>
        <w:tblBorders>
          <w:top w:val="single" w:color="B03A2E" w:sz="4"/>
          <w:left w:val="single" w:color="B03A2E" w:sz="18"/>
          <w:bottom w:val="single" w:color="B03A2E" w:sz="4"/>
          <w:right w:val="single" w:color="B03A2E" w:sz="4"/>
          <w:insideH w:val="none"/>
          <w:insideV w:val="none"/>
        </w:tblBorders>
      </w:tblPr>
      <w:tblGrid>
        <w:gridCol w:w="9360"/>
      </w:tblGrid>
      <w:tr>
        <w:tc>
          <w:tcPr>
            <w:tcW w:type="dxa" w:w="9360"/>
            <w:shd w:fill="F2F5F8" w:color="auto" w:val="clear"/>
            <w:tcMar>
              <w:top w:type="dxa" w:w="140"/>
              <w:left w:type="dxa" w:w="160"/>
              <w:bottom w:type="dxa" w:w="140"/>
              <w:right w:type="dxa" w:w="160"/>
            </w:tcMar>
          </w:tcPr>
          <w:p>
            <w:pPr>
              <w:spacing w:after="60"/>
            </w:pPr>
            <w:r>
              <w:rPr>
                <w:rFonts w:ascii="Calibri" w:cs="Calibri" w:eastAsia="Calibri" w:hAnsi="Calibri"/>
                <w:b/>
                <w:bCs/>
                <w:color w:val="B03A2E"/>
                <w:sz w:val="19"/>
                <w:szCs w:val="19"/>
              </w:rPr>
              <w:t xml:space="preserve">LE CAS QUI CASSE TOUJOURS</w:t>
            </w:r>
          </w:p>
          <w:p>
            <w:pPr>
              <w:spacing w:after="0" w:line="270"/>
            </w:pPr>
            <w:r>
              <w:rPr>
                <w:rFonts w:ascii="Calibri" w:cs="Calibri" w:eastAsia="Calibri" w:hAnsi="Calibri"/>
                <w:sz w:val="19"/>
                <w:szCs w:val="19"/>
              </w:rPr>
              <w:t xml:space="preserve">Un contact arrivé vendredi à 18 h et répondu lundi à 9 h représente une heure ouvrée, pas soixante-trois. Écrivez ce test avant l'implémentation. C'est l'indicateur le plus scruté en comité de pilotage et le plus facile à calculer faux.</w:t>
            </w:r>
          </w:p>
        </w:tc>
      </w:tr>
    </w:tbl>
    <w:p>
      <w:pPr>
        <w:pStyle w:val="Heading2"/>
        <w:spacing w:after="140" w:before="260"/>
      </w:pPr>
      <w:r>
        <w:rPr>
          <w:rFonts w:ascii="Calibri" w:cs="Calibri" w:eastAsia="Calibri" w:hAnsi="Calibri"/>
          <w:b/>
          <w:bCs/>
          <w:color w:val="1B6CA8"/>
          <w:sz w:val="24"/>
          <w:szCs w:val="24"/>
        </w:rPr>
        <w:t xml:space="preserve">5.3 Qualification calculée</w:t>
      </w:r>
    </w:p>
    <w:tbl>
      <w:tblPr>
        <w:tblW w:type="dxa" w:w="9360"/>
        <w:tblBorders>
          <w:top w:val="none"/>
          <w:left w:val="none"/>
          <w:bottom w:val="none"/>
          <w:right w:val="none"/>
          <w:insideH w:val="none"/>
          <w:insideV w:val="none"/>
        </w:tblBorders>
      </w:tblPr>
      <w:tblGrid>
        <w:gridCol w:w="9360"/>
      </w:tblGrid>
      <w:tr>
        <w:tc>
          <w:tcPr>
            <w:tcW w:type="dxa" w:w="9360"/>
            <w:shd w:fill="1E2A38" w:color="auto" w:val="clear"/>
            <w:tcMar>
              <w:top w:type="dxa" w:w="140"/>
              <w:left w:type="dxa" w:w="180"/>
              <w:bottom w:type="dxa" w:w="140"/>
              <w:right w:type="dxa" w:w="140"/>
            </w:tcMar>
          </w:tcPr>
          <w:p>
            <w:pPr>
              <w:spacing w:after="0" w:line="250"/>
            </w:pPr>
            <w:r>
              <w:rPr>
                <w:rFonts w:ascii="Consolas" w:cs="Consolas" w:eastAsia="Consolas" w:hAnsi="Consolas"/>
                <w:color w:val="D6E4F0"/>
                <w:sz w:val="17"/>
                <w:szCs w:val="17"/>
              </w:rPr>
              <w:t xml:space="preserve">// Observer sur Contact — jamais un setter public</w:t>
            </w:r>
          </w:p>
          <w:p>
            <w:pPr>
              <w:spacing w:after="0" w:line="250"/>
            </w:pPr>
            <w:r>
              <w:rPr>
                <w:rFonts w:ascii="Consolas" w:cs="Consolas" w:eastAsia="Consolas" w:hAnsi="Consolas"/>
                <w:color w:val="D6E4F0"/>
                <w:sz w:val="17"/>
                <w:szCs w:val="17"/>
              </w:rPr>
              <w:t xml:space="preserve">$contact-&gt;qualified_at = ($contact-&gt;q_replied_at &amp;&amp; $contact-&gt;q_project_at</w:t>
            </w:r>
          </w:p>
          <w:p>
            <w:pPr>
              <w:spacing w:after="0" w:line="250"/>
            </w:pPr>
            <w:r>
              <w:rPr>
                <w:rFonts w:ascii="Consolas" w:cs="Consolas" w:eastAsia="Consolas" w:hAnsi="Consolas"/>
                <w:color w:val="D6E4F0"/>
                <w:sz w:val="17"/>
                <w:szCs w:val="17"/>
              </w:rPr>
              <w:t xml:space="preserve">    &amp;&amp; $contact-&gt;q_budget_at &amp;&amp; $contact-&gt;q_source_at)</w:t>
            </w:r>
          </w:p>
          <w:p>
            <w:pPr>
              <w:spacing w:after="0" w:line="250"/>
            </w:pPr>
            <w:r>
              <w:rPr>
                <w:rFonts w:ascii="Consolas" w:cs="Consolas" w:eastAsia="Consolas" w:hAnsi="Consolas"/>
                <w:color w:val="D6E4F0"/>
                <w:sz w:val="17"/>
                <w:szCs w:val="17"/>
              </w:rPr>
              <w:t xml:space="preserve">    ? ($contact-&gt;qualified_at ?? now())</w:t>
            </w:r>
          </w:p>
          <w:p>
            <w:pPr>
              <w:spacing w:after="0" w:line="250"/>
            </w:pPr>
            <w:r>
              <w:rPr>
                <w:rFonts w:ascii="Consolas" w:cs="Consolas" w:eastAsia="Consolas" w:hAnsi="Consolas"/>
                <w:color w:val="D6E4F0"/>
                <w:sz w:val="17"/>
                <w:szCs w:val="17"/>
              </w:rPr>
              <w:t xml:space="preserve">    : null;</w:t>
            </w:r>
          </w:p>
        </w:tc>
      </w:tr>
    </w:tbl>
    <w:p>
      <w:pPr>
        <w:spacing w:after="160"/>
      </w:pPr>
    </w:p>
    <w:p>
      <w:pPr>
        <w:pStyle w:val="ListParagraph"/>
        <w:numPr>
          <w:ilvl w:val="0"/>
          <w:numId w:val="2"/>
        </w:numPr>
        <w:spacing w:after="60" w:line="276"/>
      </w:pPr>
      <w:r>
        <w:rPr>
          <w:rFonts w:ascii="Calibri" w:cs="Calibri" w:eastAsia="Calibri" w:hAnsi="Calibri"/>
          <w:sz w:val="21"/>
          <w:szCs w:val="21"/>
        </w:rPr>
        <w:t xml:space="preserve">Aucun endpoint et aucune action Filament ne peut écrire qualified_at directement.</w:t>
      </w:r>
    </w:p>
    <w:p>
      <w:pPr>
        <w:pStyle w:val="ListParagraph"/>
        <w:numPr>
          <w:ilvl w:val="0"/>
          <w:numId w:val="2"/>
        </w:numPr>
        <w:spacing w:after="60" w:line="276"/>
      </w:pPr>
      <w:r>
        <w:rPr>
          <w:rFonts w:ascii="Calibri" w:cs="Calibri" w:eastAsia="Calibri" w:hAnsi="Calibri"/>
          <w:sz w:val="21"/>
          <w:szCs w:val="21"/>
        </w:rPr>
        <w:t xml:space="preserve">Chaque coche et chaque décoche est tracée dans l'activity log.</w:t>
      </w:r>
    </w:p>
    <w:p>
      <w:pPr>
        <w:spacing w:after="160"/>
      </w:pPr>
    </w:p>
    <w:tbl>
      <w:tblPr>
        <w:tblW w:type="dxa" w:w="9360"/>
        <w:tblBorders>
          <w:top w:val="single" w:color="1B6CA8" w:sz="4"/>
          <w:left w:val="single" w:color="1B6CA8" w:sz="18"/>
          <w:bottom w:val="single" w:color="1B6CA8" w:sz="4"/>
          <w:right w:val="single" w:color="1B6CA8" w:sz="4"/>
          <w:insideH w:val="none"/>
          <w:insideV w:val="none"/>
        </w:tblBorders>
      </w:tblPr>
      <w:tblGrid>
        <w:gridCol w:w="9360"/>
      </w:tblGrid>
      <w:tr>
        <w:tc>
          <w:tcPr>
            <w:tcW w:type="dxa" w:w="9360"/>
            <w:shd w:fill="F2F5F8" w:color="auto" w:val="clear"/>
            <w:tcMar>
              <w:top w:type="dxa" w:w="140"/>
              <w:left w:type="dxa" w:w="160"/>
              <w:bottom w:type="dxa" w:w="140"/>
              <w:right w:type="dxa" w:w="160"/>
            </w:tcMar>
          </w:tcPr>
          <w:p>
            <w:pPr>
              <w:spacing w:after="60"/>
            </w:pPr>
            <w:r>
              <w:rPr>
                <w:rFonts w:ascii="Calibri" w:cs="Calibri" w:eastAsia="Calibri" w:hAnsi="Calibri"/>
                <w:b/>
                <w:bCs/>
                <w:color w:val="1B6CA8"/>
                <w:sz w:val="19"/>
                <w:szCs w:val="19"/>
              </w:rPr>
              <w:t xml:space="preserve">POURQUOI CETTE RÈGLE EST CENTRALE</w:t>
            </w:r>
          </w:p>
          <w:p>
            <w:pPr>
              <w:spacing w:after="0" w:line="270"/>
            </w:pPr>
            <w:r>
              <w:rPr>
                <w:rFonts w:ascii="Calibri" w:cs="Calibri" w:eastAsia="Calibri" w:hAnsi="Calibri"/>
                <w:sz w:val="19"/>
                <w:szCs w:val="19"/>
              </w:rPr>
              <w:t xml:space="preserve">La tentation, en fin de POC, sera de requalifier des contacts tièdes pour atteindre la cible de 150. Un statut calculé et horodaté rend l'opération impossible sans laisser de trace. C'est précisément ce qui rend le chiffre défendable en revue de décision, là où un simple champ de statut librement modifiable ne prouverait rien.</w:t>
            </w:r>
          </w:p>
        </w:tc>
      </w:tr>
    </w:tbl>
    <w:p>
      <w:pPr>
        <w:pStyle w:val="Heading2"/>
        <w:spacing w:after="140" w:before="260"/>
      </w:pPr>
      <w:r>
        <w:rPr>
          <w:rFonts w:ascii="Calibri" w:cs="Calibri" w:eastAsia="Calibri" w:hAnsi="Calibri"/>
          <w:b/>
          <w:bCs/>
          <w:color w:val="1B6CA8"/>
          <w:sz w:val="24"/>
          <w:szCs w:val="24"/>
        </w:rPr>
        <w:t xml:space="preserve">5.4 Écart à la trajectoire</w:t>
      </w:r>
    </w:p>
    <w:p>
      <w:pPr>
        <w:spacing w:after="120" w:line="276"/>
      </w:pPr>
      <w:r>
        <w:rPr>
          <w:rFonts w:ascii="Calibri" w:cs="Calibri" w:eastAsia="Calibri" w:hAnsi="Calibri"/>
          <w:color w:val="222222"/>
          <w:sz w:val="21"/>
          <w:szCs w:val="21"/>
        </w:rPr>
        <w:t xml:space="preserve">Le tableau de bord n'affiche pas seulement la valeur atteinte, mais l'écart à la valeur attendue au prorata du jour courant. C'est cette lecture qui permet de corriger en semaine 2 plutôt qu'au comité du mois suivant.</w:t>
      </w:r>
    </w:p>
    <w:tbl>
      <w:tblPr>
        <w:tblW w:type="dxa" w:w="9360"/>
        <w:tblBorders>
          <w:top w:val="single" w:color="D9E1E8" w:sz="4"/>
          <w:left w:val="single" w:color="D9E1E8" w:sz="4"/>
          <w:bottom w:val="single" w:color="D9E1E8" w:sz="4"/>
          <w:right w:val="single" w:color="D9E1E8" w:sz="4"/>
          <w:insideH w:val="single" w:color="D9E1E8" w:sz="4"/>
          <w:insideV w:val="single" w:color="D9E1E8" w:sz="4"/>
        </w:tblBorders>
      </w:tblPr>
      <w:tblGrid>
        <w:gridCol w:w="2360"/>
        <w:gridCol w:w="1400"/>
        <w:gridCol w:w="1400"/>
        <w:gridCol w:w="1400"/>
        <w:gridCol w:w="1400"/>
        <w:gridCol w:w="1400"/>
      </w:tblGrid>
      <w:tr>
        <w:trPr>
          <w:tblHeader/>
        </w:trPr>
        <w:tc>
          <w:tcPr>
            <w:tcW w:type="dxa" w:w="236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JALON</w:t>
            </w:r>
          </w:p>
        </w:tc>
        <w:tc>
          <w:tcPr>
            <w:tcW w:type="dxa" w:w="140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Mois 2</w:t>
            </w:r>
          </w:p>
        </w:tc>
        <w:tc>
          <w:tcPr>
            <w:tcW w:type="dxa" w:w="140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Mois 3</w:t>
            </w:r>
          </w:p>
        </w:tc>
        <w:tc>
          <w:tcPr>
            <w:tcW w:type="dxa" w:w="140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Mois 4</w:t>
            </w:r>
          </w:p>
        </w:tc>
        <w:tc>
          <w:tcPr>
            <w:tcW w:type="dxa" w:w="140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Mois 5</w:t>
            </w:r>
          </w:p>
        </w:tc>
        <w:tc>
          <w:tcPr>
            <w:tcW w:type="dxa" w:w="140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Mois 6</w:t>
            </w:r>
          </w:p>
        </w:tc>
      </w:tr>
      <w:tr>
        <w:tc>
          <w:tcPr>
            <w:tcW w:type="dxa" w:w="23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Qualifiés du mois</w:t>
            </w:r>
          </w:p>
        </w:tc>
        <w:tc>
          <w:tcPr>
            <w:tcW w:type="dxa" w:w="14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15</w:t>
            </w:r>
          </w:p>
        </w:tc>
        <w:tc>
          <w:tcPr>
            <w:tcW w:type="dxa" w:w="14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25</w:t>
            </w:r>
          </w:p>
        </w:tc>
        <w:tc>
          <w:tcPr>
            <w:tcW w:type="dxa" w:w="14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30</w:t>
            </w:r>
          </w:p>
        </w:tc>
        <w:tc>
          <w:tcPr>
            <w:tcW w:type="dxa" w:w="14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45</w:t>
            </w:r>
          </w:p>
        </w:tc>
        <w:tc>
          <w:tcPr>
            <w:tcW w:type="dxa" w:w="14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35</w:t>
            </w:r>
          </w:p>
        </w:tc>
      </w:tr>
      <w:tr>
        <w:tc>
          <w:tcPr>
            <w:tcW w:type="dxa" w:w="23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Cumul qualifiés</w:t>
            </w:r>
          </w:p>
        </w:tc>
        <w:tc>
          <w:tcPr>
            <w:tcW w:type="dxa" w:w="14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15</w:t>
            </w:r>
          </w:p>
        </w:tc>
        <w:tc>
          <w:tcPr>
            <w:tcW w:type="dxa" w:w="14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40</w:t>
            </w:r>
          </w:p>
        </w:tc>
        <w:tc>
          <w:tcPr>
            <w:tcW w:type="dxa" w:w="14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70</w:t>
            </w:r>
          </w:p>
        </w:tc>
        <w:tc>
          <w:tcPr>
            <w:tcW w:type="dxa" w:w="14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115</w:t>
            </w:r>
          </w:p>
        </w:tc>
        <w:tc>
          <w:tcPr>
            <w:tcW w:type="dxa" w:w="14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150</w:t>
            </w:r>
          </w:p>
        </w:tc>
      </w:tr>
      <w:tr>
        <w:tc>
          <w:tcPr>
            <w:tcW w:type="dxa" w:w="23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Visites du mois</w:t>
            </w:r>
          </w:p>
        </w:tc>
        <w:tc>
          <w:tcPr>
            <w:tcW w:type="dxa" w:w="14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1</w:t>
            </w:r>
          </w:p>
        </w:tc>
        <w:tc>
          <w:tcPr>
            <w:tcW w:type="dxa" w:w="14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2</w:t>
            </w:r>
          </w:p>
        </w:tc>
        <w:tc>
          <w:tcPr>
            <w:tcW w:type="dxa" w:w="14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3</w:t>
            </w:r>
          </w:p>
        </w:tc>
        <w:tc>
          <w:tcPr>
            <w:tcW w:type="dxa" w:w="14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9</w:t>
            </w:r>
          </w:p>
        </w:tc>
        <w:tc>
          <w:tcPr>
            <w:tcW w:type="dxa" w:w="14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5</w:t>
            </w:r>
          </w:p>
        </w:tc>
      </w:tr>
    </w:tbl>
    <w:p>
      <w:pPr>
        <w:spacing w:after="160"/>
      </w:pPr>
    </w:p>
    <w:p>
      <w:pPr>
        <w:spacing w:after="120" w:line="276"/>
      </w:pPr>
      <w:r>
        <w:rPr>
          <w:rFonts w:ascii="Calibri" w:cs="Calibri" w:eastAsia="Calibri" w:hAnsi="Calibri"/>
          <w:i/>
          <w:iCs/>
          <w:color w:val="555555"/>
          <w:sz w:val="19"/>
          <w:szCs w:val="19"/>
        </w:rPr>
        <w:t xml:space="preserve">Ces valeurs sont stockées dans la table targets et paramétrables par tenant. Elles ne doivent jamais être écrites dans le code.</w:t>
      </w:r>
    </w:p>
    <w:p>
      <w:r>
        <w:br w:type="page"/>
      </w:r>
    </w:p>
    <w:p>
      <w:pPr>
        <w:pStyle w:val="Heading1"/>
        <w:spacing w:after="200" w:before="360"/>
      </w:pPr>
      <w:r>
        <w:rPr>
          <w:rFonts w:ascii="Calibri" w:cs="Calibri" w:eastAsia="Calibri" w:hAnsi="Calibri"/>
          <w:b/>
          <w:bCs/>
          <w:color w:val="0B2545"/>
          <w:sz w:val="30"/>
          <w:szCs w:val="30"/>
        </w:rPr>
        <w:t xml:space="preserve">6. Pipeline commercial</w:t>
      </w:r>
    </w:p>
    <w:tbl>
      <w:tblPr>
        <w:tblW w:type="dxa" w:w="9360"/>
        <w:tblBorders>
          <w:top w:val="none"/>
          <w:left w:val="none"/>
          <w:bottom w:val="none"/>
          <w:right w:val="none"/>
          <w:insideH w:val="none"/>
          <w:insideV w:val="none"/>
        </w:tblBorders>
      </w:tblPr>
      <w:tblGrid>
        <w:gridCol w:w="9360"/>
      </w:tblGrid>
      <w:tr>
        <w:tc>
          <w:tcPr>
            <w:tcW w:type="dxa" w:w="9360"/>
            <w:shd w:fill="1E2A38" w:color="auto" w:val="clear"/>
            <w:tcMar>
              <w:top w:type="dxa" w:w="140"/>
              <w:left w:type="dxa" w:w="180"/>
              <w:bottom w:type="dxa" w:w="140"/>
              <w:right w:type="dxa" w:w="140"/>
            </w:tcMar>
          </w:tcPr>
          <w:p>
            <w:pPr>
              <w:spacing w:after="0" w:line="250"/>
            </w:pPr>
            <w:r>
              <w:rPr>
                <w:rFonts w:ascii="Consolas" w:cs="Consolas" w:eastAsia="Consolas" w:hAnsi="Consolas"/>
                <w:color w:val="D6E4F0"/>
                <w:sz w:val="17"/>
                <w:szCs w:val="17"/>
              </w:rPr>
              <w:t xml:space="preserve">nouveau -&gt; contacte -&gt; qualifie -&gt; rdv_planifie -&gt; visite_planifiee</w:t>
            </w:r>
          </w:p>
          <w:p>
            <w:pPr>
              <w:spacing w:after="0" w:line="250"/>
            </w:pPr>
            <w:r>
              <w:rPr>
                <w:rFonts w:ascii="Consolas" w:cs="Consolas" w:eastAsia="Consolas" w:hAnsi="Consolas"/>
                <w:color w:val="D6E4F0"/>
                <w:sz w:val="17"/>
                <w:szCs w:val="17"/>
              </w:rPr>
              <w:t xml:space="preserve">        -&gt; visite_realisee -&gt; proposition -&gt; gagne | perdu</w:t>
            </w:r>
          </w:p>
        </w:tc>
      </w:tr>
    </w:tbl>
    <w:p>
      <w:pPr>
        <w:spacing w:after="160"/>
      </w:pPr>
    </w:p>
    <w:p>
      <w:pPr>
        <w:pStyle w:val="ListParagraph"/>
        <w:numPr>
          <w:ilvl w:val="0"/>
          <w:numId w:val="2"/>
        </w:numPr>
        <w:spacing w:after="60" w:line="276"/>
      </w:pPr>
      <w:r>
        <w:rPr>
          <w:rFonts w:ascii="Calibri" w:cs="Calibri" w:eastAsia="Calibri" w:hAnsi="Calibri"/>
          <w:sz w:val="21"/>
          <w:szCs w:val="21"/>
        </w:rPr>
        <w:t xml:space="preserve">Statuts stockés dans tenant_settings, pas en enum PHP.</w:t>
      </w:r>
    </w:p>
    <w:p>
      <w:pPr>
        <w:pStyle w:val="ListParagraph"/>
        <w:numPr>
          <w:ilvl w:val="0"/>
          <w:numId w:val="2"/>
        </w:numPr>
        <w:spacing w:after="60" w:line="276"/>
      </w:pPr>
      <w:r>
        <w:rPr>
          <w:rFonts w:ascii="Calibri" w:cs="Calibri" w:eastAsia="Calibri" w:hAnsi="Calibri"/>
          <w:sz w:val="21"/>
          <w:szCs w:val="21"/>
        </w:rPr>
        <w:t xml:space="preserve">Chaque transition écrit une ligne dans status_history.</w:t>
      </w:r>
    </w:p>
    <w:p>
      <w:pPr>
        <w:pStyle w:val="ListParagraph"/>
        <w:numPr>
          <w:ilvl w:val="0"/>
          <w:numId w:val="2"/>
        </w:numPr>
        <w:spacing w:after="60" w:line="276"/>
      </w:pPr>
      <w:r>
        <w:rPr>
          <w:rFonts w:ascii="Calibri" w:cs="Calibri" w:eastAsia="Calibri" w:hAnsi="Calibri"/>
          <w:sz w:val="21"/>
          <w:szCs w:val="21"/>
        </w:rPr>
        <w:t xml:space="preserve">Le passage en « perdu » exige la sélection d'un motif dans une liste fermée et paramétrable.</w:t>
      </w:r>
    </w:p>
    <w:p>
      <w:pPr>
        <w:pStyle w:val="ListParagraph"/>
        <w:numPr>
          <w:ilvl w:val="0"/>
          <w:numId w:val="2"/>
        </w:numPr>
        <w:spacing w:after="60" w:line="276"/>
      </w:pPr>
      <w:r>
        <w:rPr>
          <w:rFonts w:ascii="Calibri" w:cs="Calibri" w:eastAsia="Calibri" w:hAnsi="Calibri"/>
          <w:sz w:val="21"/>
          <w:szCs w:val="21"/>
        </w:rPr>
        <w:t xml:space="preserve">Job quotidien : un contact sans activité depuis 45 jours est enrôlé dans la séquence de réactivation. Après trois relances sans réponse, il sort du pipeline actif — jamais de suppression.</w:t>
      </w:r>
    </w:p>
    <w:p>
      <w:pPr>
        <w:pStyle w:val="Heading2"/>
        <w:spacing w:after="140" w:before="260"/>
      </w:pPr>
      <w:r>
        <w:rPr>
          <w:rFonts w:ascii="Calibri" w:cs="Calibri" w:eastAsia="Calibri" w:hAnsi="Calibri"/>
          <w:b/>
          <w:bCs/>
          <w:color w:val="1B6CA8"/>
          <w:sz w:val="24"/>
          <w:szCs w:val="24"/>
        </w:rPr>
        <w:t xml:space="preserve">6.1 Tableau de bord</w:t>
      </w:r>
    </w:p>
    <w:tbl>
      <w:tblPr>
        <w:tblW w:type="dxa" w:w="9360"/>
        <w:tblBorders>
          <w:top w:val="single" w:color="D9E1E8" w:sz="4"/>
          <w:left w:val="single" w:color="D9E1E8" w:sz="4"/>
          <w:bottom w:val="single" w:color="D9E1E8" w:sz="4"/>
          <w:right w:val="single" w:color="D9E1E8" w:sz="4"/>
          <w:insideH w:val="single" w:color="D9E1E8" w:sz="4"/>
          <w:insideV w:val="single" w:color="D9E1E8" w:sz="4"/>
        </w:tblBorders>
      </w:tblPr>
      <w:tblGrid>
        <w:gridCol w:w="2600"/>
        <w:gridCol w:w="6760"/>
      </w:tblGrid>
      <w:tr>
        <w:trPr>
          <w:tblHeader/>
        </w:trPr>
        <w:tc>
          <w:tcPr>
            <w:tcW w:type="dxa" w:w="260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BLOC</w:t>
            </w:r>
          </w:p>
        </w:tc>
        <w:tc>
          <w:tcPr>
            <w:tcW w:type="dxa" w:w="676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CONTENU</w:t>
            </w:r>
          </w:p>
        </w:tc>
      </w:tr>
      <w:tr>
        <w:tc>
          <w:tcPr>
            <w:tcW w:type="dxa" w:w="26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Entonnoir</w:t>
            </w:r>
          </w:p>
        </w:tc>
        <w:tc>
          <w:tcPr>
            <w:tcW w:type="dxa" w:w="67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Volumes par étape et taux de passage, calculés depuis status_history</w:t>
            </w:r>
          </w:p>
        </w:tc>
      </w:tr>
      <w:tr>
        <w:tc>
          <w:tcPr>
            <w:tcW w:type="dxa" w:w="26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Canaux</w:t>
            </w:r>
          </w:p>
        </w:tc>
        <w:tc>
          <w:tcPr>
            <w:tcW w:type="dxa" w:w="67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Contribution par source : bruts, qualifiés, rendez-vous, visites, réservations</w:t>
            </w:r>
          </w:p>
        </w:tc>
      </w:tr>
      <w:tr>
        <w:tc>
          <w:tcPr>
            <w:tcW w:type="dxa" w:w="26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Réactivité</w:t>
            </w:r>
          </w:p>
        </w:tc>
        <w:tc>
          <w:tcPr>
            <w:tcW w:type="dxa" w:w="67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Délai de première réponse en moyenne et médiane, nombre de dépassements du seuil</w:t>
            </w:r>
          </w:p>
        </w:tc>
      </w:tr>
      <w:tr>
        <w:tc>
          <w:tcPr>
            <w:tcW w:type="dxa" w:w="26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Trajectoire</w:t>
            </w:r>
          </w:p>
        </w:tc>
        <w:tc>
          <w:tcPr>
            <w:tcW w:type="dxa" w:w="67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Réel contre attendu au prorata du jour courant, par indicateur</w:t>
            </w:r>
          </w:p>
        </w:tc>
      </w:tr>
    </w:tbl>
    <w:p>
      <w:pPr>
        <w:spacing w:after="160"/>
      </w:pPr>
    </w:p>
    <w:p>
      <w:pPr>
        <w:pStyle w:val="ListParagraph"/>
        <w:numPr>
          <w:ilvl w:val="0"/>
          <w:numId w:val="2"/>
        </w:numPr>
        <w:spacing w:after="60" w:line="276"/>
      </w:pPr>
      <w:r>
        <w:rPr>
          <w:rFonts w:ascii="Calibri" w:cs="Calibri" w:eastAsia="Calibri" w:hAnsi="Calibri"/>
          <w:sz w:val="21"/>
          <w:szCs w:val="21"/>
        </w:rPr>
        <w:t xml:space="preserve">Export PDF du rapport de comité sur période choisie, avec en-tête client.</w:t>
      </w:r>
    </w:p>
    <w:p>
      <w:pPr>
        <w:pStyle w:val="ListParagraph"/>
        <w:numPr>
          <w:ilvl w:val="0"/>
          <w:numId w:val="2"/>
        </w:numPr>
        <w:spacing w:after="60" w:line="276"/>
      </w:pPr>
      <w:r>
        <w:rPr>
          <w:rFonts w:ascii="Calibri" w:cs="Calibri" w:eastAsia="Calibri" w:hAnsi="Calibri"/>
          <w:sz w:val="21"/>
          <w:szCs w:val="21"/>
        </w:rPr>
        <w:t xml:space="preserve">Export CSV et JSON intégral déclenchable par l'administrateur client sans intervention de LinkUp — c'est une obligation contractuelle (article 11).</w:t>
      </w:r>
    </w:p>
    <w:p>
      <w:r>
        <w:br w:type="page"/>
      </w:r>
    </w:p>
    <w:p>
      <w:pPr>
        <w:pStyle w:val="Heading1"/>
        <w:spacing w:after="200" w:before="360"/>
      </w:pPr>
      <w:r>
        <w:rPr>
          <w:rFonts w:ascii="Calibri" w:cs="Calibri" w:eastAsia="Calibri" w:hAnsi="Calibri"/>
          <w:b/>
          <w:bCs/>
          <w:color w:val="0B2545"/>
          <w:sz w:val="30"/>
          <w:szCs w:val="30"/>
        </w:rPr>
        <w:t xml:space="preserve">7. Intégrations</w:t>
      </w:r>
    </w:p>
    <w:p>
      <w:pPr>
        <w:pStyle w:val="Heading2"/>
        <w:spacing w:after="140" w:before="260"/>
      </w:pPr>
      <w:r>
        <w:rPr>
          <w:rFonts w:ascii="Calibri" w:cs="Calibri" w:eastAsia="Calibri" w:hAnsi="Calibri"/>
          <w:b/>
          <w:bCs/>
          <w:color w:val="1B6CA8"/>
          <w:sz w:val="24"/>
          <w:szCs w:val="24"/>
        </w:rPr>
        <w:t xml:space="preserve">7.1 WhatsApp Cloud API — risque numéro un</w:t>
      </w:r>
    </w:p>
    <w:p>
      <w:pPr>
        <w:spacing w:after="120" w:line="276"/>
      </w:pPr>
      <w:r>
        <w:rPr>
          <w:rFonts w:ascii="Calibri" w:cs="Calibri" w:eastAsia="Calibri" w:hAnsi="Calibri"/>
          <w:color w:val="222222"/>
          <w:sz w:val="21"/>
          <w:szCs w:val="21"/>
        </w:rPr>
        <w:t xml:space="preserve">Le dispositif requiert un compte Business Meta, un numéro vérifié et des templates de message soumis à validation par Meta. Le délai de validation n'est pas maîtrisé et peut atteindre plusieurs jours.</w:t>
      </w:r>
    </w:p>
    <w:p>
      <w:pPr>
        <w:spacing w:after="160"/>
      </w:pPr>
    </w:p>
    <w:tbl>
      <w:tblPr>
        <w:tblW w:type="dxa" w:w="9360"/>
        <w:tblBorders>
          <w:top w:val="single" w:color="B03A2E" w:sz="4"/>
          <w:left w:val="single" w:color="B03A2E" w:sz="18"/>
          <w:bottom w:val="single" w:color="B03A2E" w:sz="4"/>
          <w:right w:val="single" w:color="B03A2E" w:sz="4"/>
          <w:insideH w:val="none"/>
          <w:insideV w:val="none"/>
        </w:tblBorders>
      </w:tblPr>
      <w:tblGrid>
        <w:gridCol w:w="9360"/>
      </w:tblGrid>
      <w:tr>
        <w:tc>
          <w:tcPr>
            <w:tcW w:type="dxa" w:w="9360"/>
            <w:shd w:fill="F2F5F8" w:color="auto" w:val="clear"/>
            <w:tcMar>
              <w:top w:type="dxa" w:w="140"/>
              <w:left w:type="dxa" w:w="160"/>
              <w:bottom w:type="dxa" w:w="140"/>
              <w:right w:type="dxa" w:w="160"/>
            </w:tcMar>
          </w:tcPr>
          <w:p>
            <w:pPr>
              <w:spacing w:after="60"/>
            </w:pPr>
            <w:r>
              <w:rPr>
                <w:rFonts w:ascii="Calibri" w:cs="Calibri" w:eastAsia="Calibri" w:hAnsi="Calibri"/>
                <w:b/>
                <w:bCs/>
                <w:color w:val="B03A2E"/>
                <w:sz w:val="19"/>
                <w:szCs w:val="19"/>
              </w:rPr>
              <w:t xml:space="preserve">À LANCER LE JOUR 1, AVANT LE PREMIER COMMIT</w:t>
            </w:r>
          </w:p>
          <w:p>
            <w:pPr>
              <w:spacing w:after="0" w:line="270"/>
            </w:pPr>
            <w:r>
              <w:rPr>
                <w:rFonts w:ascii="Calibri" w:cs="Calibri" w:eastAsia="Calibri" w:hAnsi="Calibri"/>
                <w:sz w:val="19"/>
                <w:szCs w:val="19"/>
              </w:rPr>
              <w:t xml:space="preserve">C'est le seul élément du projet dont le délai ne dépend pas de l'équipe. Si la validation traîne, le repli est le suivant : séquences en e-mail seul et WhatsApp maintenu en canal manuel avec notification. Le POC reste défendable ; une attente bloquée ne l'est pas.</w:t>
            </w:r>
          </w:p>
        </w:tc>
      </w:tr>
    </w:tbl>
    <w:p>
      <w:pPr>
        <w:spacing w:after="160"/>
      </w:pPr>
    </w:p>
    <w:p>
      <w:pPr>
        <w:pStyle w:val="ListParagraph"/>
        <w:numPr>
          <w:ilvl w:val="0"/>
          <w:numId w:val="2"/>
        </w:numPr>
        <w:spacing w:after="60" w:line="276"/>
      </w:pPr>
      <w:r>
        <w:rPr>
          <w:rFonts w:ascii="Calibri" w:cs="Calibri" w:eastAsia="Calibri" w:hAnsi="Calibri"/>
          <w:sz w:val="21"/>
          <w:szCs w:val="21"/>
        </w:rPr>
        <w:t xml:space="preserve">Webhook entrant : création du contact et capture de la source depuis le message pré-rempli.</w:t>
      </w:r>
    </w:p>
    <w:p>
      <w:pPr>
        <w:pStyle w:val="ListParagraph"/>
        <w:numPr>
          <w:ilvl w:val="0"/>
          <w:numId w:val="2"/>
        </w:numPr>
        <w:spacing w:after="60" w:line="276"/>
      </w:pPr>
      <w:r>
        <w:rPr>
          <w:rFonts w:ascii="Calibri" w:cs="Calibri" w:eastAsia="Calibri" w:hAnsi="Calibri"/>
          <w:sz w:val="21"/>
          <w:szCs w:val="21"/>
        </w:rPr>
        <w:t xml:space="preserve">Message pré-rempli différencié par page, avec suffixe de référence identifiant la landing page d'origine.</w:t>
      </w:r>
    </w:p>
    <w:p>
      <w:pPr>
        <w:pStyle w:val="ListParagraph"/>
        <w:numPr>
          <w:ilvl w:val="0"/>
          <w:numId w:val="2"/>
        </w:numPr>
        <w:spacing w:after="60" w:line="276"/>
      </w:pPr>
      <w:r>
        <w:rPr>
          <w:rFonts w:ascii="Calibri" w:cs="Calibri" w:eastAsia="Calibri" w:hAnsi="Calibri"/>
          <w:sz w:val="21"/>
          <w:szCs w:val="21"/>
        </w:rPr>
        <w:t xml:space="preserve">Fenêtre de 24 heures : hors fenêtre, seuls les templates approuvés passent. À gérer explicitement dans le moteur de séquences.</w:t>
      </w:r>
    </w:p>
    <w:p>
      <w:pPr>
        <w:pStyle w:val="Heading2"/>
        <w:spacing w:after="140" w:before="260"/>
      </w:pPr>
      <w:r>
        <w:rPr>
          <w:rFonts w:ascii="Calibri" w:cs="Calibri" w:eastAsia="Calibri" w:hAnsi="Calibri"/>
          <w:b/>
          <w:bCs/>
          <w:color w:val="1B6CA8"/>
          <w:sz w:val="24"/>
          <w:szCs w:val="24"/>
        </w:rPr>
        <w:t xml:space="preserve">7.2 Formulaires du site</w:t>
      </w:r>
    </w:p>
    <w:p>
      <w:pPr>
        <w:spacing w:after="120" w:line="276"/>
      </w:pPr>
      <w:r>
        <w:rPr>
          <w:rFonts w:ascii="Calibri" w:cs="Calibri" w:eastAsia="Calibri" w:hAnsi="Calibri"/>
          <w:color w:val="222222"/>
          <w:sz w:val="21"/>
          <w:szCs w:val="21"/>
        </w:rPr>
        <w:t xml:space="preserve">Endpoint POST /api/v1/leads authentifié par clé API propre à chaque tenant, avec limitation de débit et champ honeypot.</w:t>
      </w:r>
    </w:p>
    <w:p>
      <w:pPr>
        <w:pStyle w:val="Heading2"/>
        <w:spacing w:after="140" w:before="260"/>
      </w:pPr>
      <w:r>
        <w:rPr>
          <w:rFonts w:ascii="Calibri" w:cs="Calibri" w:eastAsia="Calibri" w:hAnsi="Calibri"/>
          <w:b/>
          <w:bCs/>
          <w:color w:val="1B6CA8"/>
          <w:sz w:val="24"/>
          <w:szCs w:val="24"/>
        </w:rPr>
        <w:t xml:space="preserve">7.3 E-mail</w:t>
      </w:r>
    </w:p>
    <w:p>
      <w:pPr>
        <w:spacing w:after="120" w:line="276"/>
      </w:pPr>
      <w:r>
        <w:rPr>
          <w:rFonts w:ascii="Calibri" w:cs="Calibri" w:eastAsia="Calibri" w:hAnsi="Calibri"/>
          <w:color w:val="222222"/>
          <w:sz w:val="21"/>
          <w:szCs w:val="21"/>
        </w:rPr>
        <w:t xml:space="preserve">Webhooks de remise alimentant message_log. Lien de désinscription obligatoire sur tout envoi automatisé.</w:t>
      </w:r>
    </w:p>
    <w:p>
      <w:r>
        <w:br w:type="page"/>
      </w:r>
    </w:p>
    <w:p>
      <w:pPr>
        <w:pStyle w:val="Heading1"/>
        <w:spacing w:after="200" w:before="360"/>
      </w:pPr>
      <w:r>
        <w:rPr>
          <w:rFonts w:ascii="Calibri" w:cs="Calibri" w:eastAsia="Calibri" w:hAnsi="Calibri"/>
          <w:b/>
          <w:bCs/>
          <w:color w:val="0B2545"/>
          <w:sz w:val="30"/>
          <w:szCs w:val="30"/>
        </w:rPr>
        <w:t xml:space="preserve">8. Moteur de séquences</w:t>
      </w:r>
    </w:p>
    <w:p>
      <w:pPr>
        <w:spacing w:after="120" w:line="276"/>
      </w:pPr>
      <w:r>
        <w:rPr>
          <w:rFonts w:ascii="Calibri" w:cs="Calibri" w:eastAsia="Calibri" w:hAnsi="Calibri"/>
          <w:color w:val="222222"/>
          <w:sz w:val="21"/>
          <w:szCs w:val="21"/>
        </w:rPr>
        <w:t xml:space="preserve">Les étapes sont stockées en JSONB sur la séquence :</w:t>
      </w:r>
    </w:p>
    <w:tbl>
      <w:tblPr>
        <w:tblW w:type="dxa" w:w="9360"/>
        <w:tblBorders>
          <w:top w:val="none"/>
          <w:left w:val="none"/>
          <w:bottom w:val="none"/>
          <w:right w:val="none"/>
          <w:insideH w:val="none"/>
          <w:insideV w:val="none"/>
        </w:tblBorders>
      </w:tblPr>
      <w:tblGrid>
        <w:gridCol w:w="9360"/>
      </w:tblGrid>
      <w:tr>
        <w:tc>
          <w:tcPr>
            <w:tcW w:type="dxa" w:w="9360"/>
            <w:shd w:fill="1E2A38" w:color="auto" w:val="clear"/>
            <w:tcMar>
              <w:top w:type="dxa" w:w="140"/>
              <w:left w:type="dxa" w:w="180"/>
              <w:bottom w:type="dxa" w:w="140"/>
              <w:right w:type="dxa" w:w="140"/>
            </w:tcMar>
          </w:tcPr>
          <w:p>
            <w:pPr>
              <w:spacing w:after="0" w:line="250"/>
            </w:pPr>
            <w:r>
              <w:rPr>
                <w:rFonts w:ascii="Consolas" w:cs="Consolas" w:eastAsia="Consolas" w:hAnsi="Consolas"/>
                <w:color w:val="D6E4F0"/>
                <w:sz w:val="17"/>
                <w:szCs w:val="17"/>
              </w:rPr>
              <w:t xml:space="preserve">[</w:t>
            </w:r>
          </w:p>
          <w:p>
            <w:pPr>
              <w:spacing w:after="0" w:line="250"/>
            </w:pPr>
            <w:r>
              <w:rPr>
                <w:rFonts w:ascii="Consolas" w:cs="Consolas" w:eastAsia="Consolas" w:hAnsi="Consolas"/>
                <w:color w:val="D6E4F0"/>
                <w:sz w:val="17"/>
                <w:szCs w:val="17"/>
              </w:rPr>
              <w:t xml:space="preserve">  {"delay_hours": 48,  "channel": "whatsapp", "template": "relance_1"},</w:t>
            </w:r>
          </w:p>
          <w:p>
            <w:pPr>
              <w:spacing w:after="0" w:line="250"/>
            </w:pPr>
            <w:r>
              <w:rPr>
                <w:rFonts w:ascii="Consolas" w:cs="Consolas" w:eastAsia="Consolas" w:hAnsi="Consolas"/>
                <w:color w:val="D6E4F0"/>
                <w:sz w:val="17"/>
                <w:szCs w:val="17"/>
              </w:rPr>
              <w:t xml:space="preserve">  {"delay_hours": 120, "channel": "email",    "template": "relance_2"},</w:t>
            </w:r>
          </w:p>
          <w:p>
            <w:pPr>
              <w:spacing w:after="0" w:line="250"/>
            </w:pPr>
            <w:r>
              <w:rPr>
                <w:rFonts w:ascii="Consolas" w:cs="Consolas" w:eastAsia="Consolas" w:hAnsi="Consolas"/>
                <w:color w:val="D6E4F0"/>
                <w:sz w:val="17"/>
                <w:szCs w:val="17"/>
              </w:rPr>
              <w:t xml:space="preserve">  {"delay_hours": 288, "channel": "whatsapp", "template": "relance_3"}</w:t>
            </w:r>
          </w:p>
          <w:p>
            <w:pPr>
              <w:spacing w:after="0" w:line="250"/>
            </w:pPr>
            <w:r>
              <w:rPr>
                <w:rFonts w:ascii="Consolas" w:cs="Consolas" w:eastAsia="Consolas" w:hAnsi="Consolas"/>
                <w:color w:val="D6E4F0"/>
                <w:sz w:val="17"/>
                <w:szCs w:val="17"/>
              </w:rPr>
              <w:t xml:space="preserve">]</w:t>
            </w:r>
          </w:p>
        </w:tc>
      </w:tr>
    </w:tbl>
    <w:p>
      <w:pPr>
        <w:spacing w:after="160"/>
      </w:pPr>
    </w:p>
    <w:p>
      <w:pPr>
        <w:pStyle w:val="ListParagraph"/>
        <w:numPr>
          <w:ilvl w:val="0"/>
          <w:numId w:val="2"/>
        </w:numPr>
        <w:spacing w:after="60" w:line="276"/>
      </w:pPr>
      <w:r>
        <w:rPr>
          <w:rFonts w:ascii="Calibri" w:cs="Calibri" w:eastAsia="Calibri" w:hAnsi="Calibri"/>
          <w:sz w:val="21"/>
          <w:szCs w:val="21"/>
        </w:rPr>
        <w:t xml:space="preserve">Job ProcessSequenceStep dispatché par le planificateur sur next_run_at.</w:t>
      </w:r>
    </w:p>
    <w:p>
      <w:pPr>
        <w:pStyle w:val="ListParagraph"/>
        <w:numPr>
          <w:ilvl w:val="0"/>
          <w:numId w:val="2"/>
        </w:numPr>
        <w:spacing w:after="60" w:line="276"/>
      </w:pPr>
      <w:r>
        <w:rPr>
          <w:rFonts w:ascii="Calibri" w:cs="Calibri" w:eastAsia="Calibri" w:hAnsi="Calibri"/>
          <w:sz w:val="21"/>
          <w:szCs w:val="21"/>
        </w:rPr>
        <w:t xml:space="preserve">Idempotence stricte : un step ne s'exécute qu'une seule fois, même si le job est rejoué.</w:t>
      </w:r>
    </w:p>
    <w:p>
      <w:pPr>
        <w:pStyle w:val="ListParagraph"/>
        <w:numPr>
          <w:ilvl w:val="0"/>
          <w:numId w:val="2"/>
        </w:numPr>
        <w:spacing w:after="60" w:line="276"/>
      </w:pPr>
      <w:r>
        <w:rPr>
          <w:rFonts w:ascii="Calibri" w:cs="Calibri" w:eastAsia="Calibri" w:hAnsi="Calibri"/>
          <w:sz w:val="21"/>
          <w:szCs w:val="21"/>
        </w:rPr>
        <w:t xml:space="preserve">Trois séquences en V1 : nouveau_contact (J+2, J+5, J+12), diaspora, reactivation.</w:t>
      </w:r>
    </w:p>
    <w:p>
      <w:pPr>
        <w:spacing w:after="160"/>
      </w:pPr>
    </w:p>
    <w:tbl>
      <w:tblPr>
        <w:tblW w:type="dxa" w:w="9360"/>
        <w:tblBorders>
          <w:top w:val="single" w:color="B03A2E" w:sz="4"/>
          <w:left w:val="single" w:color="B03A2E" w:sz="18"/>
          <w:bottom w:val="single" w:color="B03A2E" w:sz="4"/>
          <w:right w:val="single" w:color="B03A2E" w:sz="4"/>
          <w:insideH w:val="none"/>
          <w:insideV w:val="none"/>
        </w:tblBorders>
      </w:tblPr>
      <w:tblGrid>
        <w:gridCol w:w="9360"/>
      </w:tblGrid>
      <w:tr>
        <w:tc>
          <w:tcPr>
            <w:tcW w:type="dxa" w:w="9360"/>
            <w:shd w:fill="F2F5F8" w:color="auto" w:val="clear"/>
            <w:tcMar>
              <w:top w:type="dxa" w:w="140"/>
              <w:left w:type="dxa" w:w="160"/>
              <w:bottom w:type="dxa" w:w="140"/>
              <w:right w:type="dxa" w:w="160"/>
            </w:tcMar>
          </w:tcPr>
          <w:p>
            <w:pPr>
              <w:spacing w:after="60"/>
            </w:pPr>
            <w:r>
              <w:rPr>
                <w:rFonts w:ascii="Calibri" w:cs="Calibri" w:eastAsia="Calibri" w:hAnsi="Calibri"/>
                <w:b/>
                <w:bCs/>
                <w:color w:val="B03A2E"/>
                <w:sz w:val="19"/>
                <w:szCs w:val="19"/>
              </w:rPr>
              <w:t xml:space="preserve">RÈGLE ABSOLUE</w:t>
            </w:r>
          </w:p>
          <w:p>
            <w:pPr>
              <w:spacing w:after="0" w:line="270"/>
            </w:pPr>
            <w:r>
              <w:rPr>
                <w:rFonts w:ascii="Calibri" w:cs="Calibri" w:eastAsia="Calibri" w:hAnsi="Calibri"/>
                <w:sz w:val="19"/>
                <w:szCs w:val="19"/>
              </w:rPr>
              <w:t xml:space="preserve">Toute réponse entrante du contact arrête immédiatement la séquence en cours (status = stopped, stop_reason = replied). Relancer automatiquement quelqu'un qui vient de répondre est le défaut le plus embarrassant possible sur ce projet, et le plus visible pour le client.</w:t>
            </w:r>
          </w:p>
        </w:tc>
      </w:tr>
    </w:tbl>
    <w:p>
      <w:r>
        <w:br w:type="page"/>
      </w:r>
    </w:p>
    <w:p>
      <w:pPr>
        <w:pStyle w:val="Heading1"/>
        <w:spacing w:after="200" w:before="360"/>
      </w:pPr>
      <w:r>
        <w:rPr>
          <w:rFonts w:ascii="Calibri" w:cs="Calibri" w:eastAsia="Calibri" w:hAnsi="Calibri"/>
          <w:b/>
          <w:bCs/>
          <w:color w:val="0B2545"/>
          <w:sz w:val="30"/>
          <w:szCs w:val="30"/>
        </w:rPr>
        <w:t xml:space="preserve">9. Conformité — loi n° 2008-12</w:t>
      </w:r>
    </w:p>
    <w:p>
      <w:pPr>
        <w:spacing w:after="120" w:line="276"/>
      </w:pPr>
      <w:r>
        <w:rPr>
          <w:rFonts w:ascii="Calibri" w:cs="Calibri" w:eastAsia="Calibri" w:hAnsi="Calibri"/>
          <w:color w:val="222222"/>
          <w:sz w:val="21"/>
          <w:szCs w:val="21"/>
        </w:rPr>
        <w:t xml:space="preserve">GRET INVEST est responsable de traitement, LinkUp est sous-traitant. Le CRM doit rendre cette répartition opérationnelle.</w:t>
      </w:r>
    </w:p>
    <w:p>
      <w:pPr>
        <w:pStyle w:val="ListParagraph"/>
        <w:numPr>
          <w:ilvl w:val="0"/>
          <w:numId w:val="2"/>
        </w:numPr>
        <w:spacing w:after="60" w:line="276"/>
      </w:pPr>
      <w:r>
        <w:rPr>
          <w:rFonts w:ascii="Calibri" w:cs="Calibri" w:eastAsia="Calibri" w:hAnsi="Calibri"/>
          <w:sz w:val="21"/>
          <w:szCs w:val="21"/>
        </w:rPr>
        <w:t xml:space="preserve">consent_at et consent_source renseignés à la collecte, avec conservation du support.</w:t>
      </w:r>
    </w:p>
    <w:p>
      <w:pPr>
        <w:pStyle w:val="ListParagraph"/>
        <w:numPr>
          <w:ilvl w:val="0"/>
          <w:numId w:val="2"/>
        </w:numPr>
        <w:spacing w:after="60" w:line="276"/>
      </w:pPr>
      <w:r>
        <w:rPr>
          <w:rFonts w:ascii="Calibri" w:cs="Calibri" w:eastAsia="Calibri" w:hAnsi="Calibri"/>
          <w:sz w:val="21"/>
          <w:szCs w:val="21"/>
        </w:rPr>
        <w:t xml:space="preserve">Lien de désinscription sur tout envoi automatisé.</w:t>
      </w:r>
    </w:p>
    <w:p>
      <w:pPr>
        <w:pStyle w:val="ListParagraph"/>
        <w:numPr>
          <w:ilvl w:val="0"/>
          <w:numId w:val="2"/>
        </w:numPr>
        <w:spacing w:after="60" w:line="276"/>
      </w:pPr>
      <w:r>
        <w:rPr>
          <w:rFonts w:ascii="Calibri" w:cs="Calibri" w:eastAsia="Calibri" w:hAnsi="Calibri"/>
          <w:sz w:val="21"/>
          <w:szCs w:val="21"/>
        </w:rPr>
        <w:t xml:space="preserve">Export intégral et suppression d'un contact sur demande, déclenchables par l'administrateur client sans intervention de LinkUp.</w:t>
      </w:r>
    </w:p>
    <w:p>
      <w:pPr>
        <w:pStyle w:val="ListParagraph"/>
        <w:numPr>
          <w:ilvl w:val="0"/>
          <w:numId w:val="2"/>
        </w:numPr>
        <w:spacing w:after="60" w:line="276"/>
      </w:pPr>
      <w:r>
        <w:rPr>
          <w:rFonts w:ascii="Calibri" w:cs="Calibri" w:eastAsia="Calibri" w:hAnsi="Calibri"/>
          <w:sz w:val="21"/>
          <w:szCs w:val="21"/>
        </w:rPr>
        <w:t xml:space="preserve">Chiffrement en transit et au repos, cloisonnement strict entre tenants.</w:t>
      </w:r>
    </w:p>
    <w:p>
      <w:pPr>
        <w:pStyle w:val="ListParagraph"/>
        <w:numPr>
          <w:ilvl w:val="0"/>
          <w:numId w:val="2"/>
        </w:numPr>
        <w:spacing w:after="60" w:line="276"/>
      </w:pPr>
      <w:r>
        <w:rPr>
          <w:rFonts w:ascii="Calibri" w:cs="Calibri" w:eastAsia="Calibri" w:hAnsi="Calibri"/>
          <w:sz w:val="21"/>
          <w:szCs w:val="21"/>
        </w:rPr>
        <w:t xml:space="preserve">Sauvegarde quotidienne, rétention 30 jours, et une restauration effectivement testée pendant le POC — une sauvegarde jamais restaurée n'est pas une sauvegarde.</w:t>
      </w:r>
    </w:p>
    <w:p>
      <w:pPr>
        <w:pStyle w:val="ListParagraph"/>
        <w:numPr>
          <w:ilvl w:val="0"/>
          <w:numId w:val="2"/>
        </w:numPr>
        <w:spacing w:after="60" w:line="276"/>
      </w:pPr>
      <w:r>
        <w:rPr>
          <w:rFonts w:ascii="Calibri" w:cs="Calibri" w:eastAsia="Calibri" w:hAnsi="Calibri"/>
          <w:sz w:val="21"/>
          <w:szCs w:val="21"/>
        </w:rPr>
        <w:t xml:space="preserve">Activity log immuable sur : création, changement de statut, modification de qualification, export, suppression.</w:t>
      </w:r>
    </w:p>
    <w:p>
      <w:pPr>
        <w:pStyle w:val="Heading2"/>
        <w:spacing w:after="140" w:before="260"/>
      </w:pPr>
      <w:r>
        <w:rPr>
          <w:rFonts w:ascii="Calibri" w:cs="Calibri" w:eastAsia="Calibri" w:hAnsi="Calibri"/>
          <w:b/>
          <w:bCs/>
          <w:color w:val="1B6CA8"/>
          <w:sz w:val="24"/>
          <w:szCs w:val="24"/>
        </w:rPr>
        <w:t xml:space="preserve">9.1 Hors périmètre de la V1</w:t>
      </w:r>
    </w:p>
    <w:p>
      <w:pPr>
        <w:spacing w:after="120" w:line="276"/>
      </w:pPr>
      <w:r>
        <w:rPr>
          <w:rFonts w:ascii="Calibri" w:cs="Calibri" w:eastAsia="Calibri" w:hAnsi="Calibri"/>
          <w:color w:val="222222"/>
          <w:sz w:val="21"/>
          <w:szCs w:val="21"/>
        </w:rPr>
        <w:t xml:space="preserve">Scoring prédictif ou IA, portail prescripteur en libre-service, signature électronique, application mobile native, visites virtuelles intégrées, gestion locative, facturation, synchronisation bidirectionnelle d'agenda. Le référentiel des biens reste volontairement léger : le CRM suit des acheteurs, pas un patrimoine.</w:t>
      </w:r>
    </w:p>
    <w:p>
      <w:r>
        <w:br w:type="page"/>
      </w:r>
    </w:p>
    <w:p>
      <w:pPr>
        <w:pStyle w:val="Heading1"/>
        <w:spacing w:after="200" w:before="360"/>
      </w:pPr>
      <w:r>
        <w:rPr>
          <w:rFonts w:ascii="Calibri" w:cs="Calibri" w:eastAsia="Calibri" w:hAnsi="Calibri"/>
          <w:b/>
          <w:bCs/>
          <w:color w:val="0B2545"/>
          <w:sz w:val="30"/>
          <w:szCs w:val="30"/>
        </w:rPr>
        <w:t xml:space="preserve">10. Planning de développement</w:t>
      </w:r>
    </w:p>
    <w:tbl>
      <w:tblPr>
        <w:tblW w:type="dxa" w:w="9360"/>
        <w:tblBorders>
          <w:top w:val="single" w:color="D9E1E8" w:sz="4"/>
          <w:left w:val="single" w:color="D9E1E8" w:sz="4"/>
          <w:bottom w:val="single" w:color="D9E1E8" w:sz="4"/>
          <w:right w:val="single" w:color="D9E1E8" w:sz="4"/>
          <w:insideH w:val="single" w:color="D9E1E8" w:sz="4"/>
          <w:insideV w:val="single" w:color="D9E1E8" w:sz="4"/>
        </w:tblBorders>
      </w:tblPr>
      <w:tblGrid>
        <w:gridCol w:w="1500"/>
        <w:gridCol w:w="7860"/>
      </w:tblGrid>
      <w:tr>
        <w:trPr>
          <w:tblHeader/>
        </w:trPr>
        <w:tc>
          <w:tcPr>
            <w:tcW w:type="dxa" w:w="150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SEMAINE</w:t>
            </w:r>
          </w:p>
        </w:tc>
        <w:tc>
          <w:tcPr>
            <w:tcW w:type="dxa" w:w="786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LIVRABLE</w:t>
            </w:r>
          </w:p>
        </w:tc>
      </w:tr>
      <w:tr>
        <w:tc>
          <w:tcPr>
            <w:tcW w:type="dxa" w:w="15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S1</w:t>
            </w:r>
          </w:p>
        </w:tc>
        <w:tc>
          <w:tcPr>
            <w:tcW w:type="dxa" w:w="78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Dépôt, intégration continue, socle Laravel + Filament + tenancy, authentification, rôles, migrations complètes. Lancement de la validation WhatsApp Business dès le premier jour.</w:t>
            </w:r>
          </w:p>
        </w:tc>
      </w:tr>
      <w:tr>
        <w:tc>
          <w:tcPr>
            <w:tcW w:type="dxa" w:w="15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S2</w:t>
            </w:r>
          </w:p>
        </w:tc>
        <w:tc>
          <w:tcPr>
            <w:tcW w:type="dxa" w:w="78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CRUD contacts, normalisation des numéros, déduplication, import CSV avec mapping et prévisualisation.</w:t>
            </w:r>
          </w:p>
        </w:tc>
      </w:tr>
      <w:tr>
        <w:tc>
          <w:tcPr>
            <w:tcW w:type="dxa" w:w="15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S3</w:t>
            </w:r>
          </w:p>
        </w:tc>
        <w:tc>
          <w:tcPr>
            <w:tcW w:type="dxa" w:w="78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Endpoint leads, webhooks WhatsApp et e-mail, traçage des sources, capture des UTM.</w:t>
            </w:r>
          </w:p>
        </w:tc>
      </w:tr>
      <w:tr>
        <w:tc>
          <w:tcPr>
            <w:tcW w:type="dxa" w:w="15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S4</w:t>
            </w:r>
          </w:p>
        </w:tc>
        <w:tc>
          <w:tcPr>
            <w:tcW w:type="dxa" w:w="78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Pipeline, status_history, qualification calculée, référentiel des biens.</w:t>
            </w:r>
          </w:p>
        </w:tc>
      </w:tr>
      <w:tr>
        <w:tc>
          <w:tcPr>
            <w:tcW w:type="dxa" w:w="15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S5</w:t>
            </w:r>
          </w:p>
        </w:tc>
        <w:tc>
          <w:tcPr>
            <w:tcW w:type="dxa" w:w="78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Moteur de séquences, compteur de première réponse, notifications, modèles de messages.</w:t>
            </w:r>
          </w:p>
        </w:tc>
      </w:tr>
      <w:tr>
        <w:tc>
          <w:tcPr>
            <w:tcW w:type="dxa" w:w="15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S6</w:t>
            </w:r>
          </w:p>
        </w:tc>
        <w:tc>
          <w:tcPr>
            <w:tcW w:type="dxa" w:w="78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Tableau de bord, exports, conformité, recette et formation de l'équipe (2 heures).</w:t>
            </w:r>
          </w:p>
        </w:tc>
      </w:tr>
    </w:tbl>
    <w:p>
      <w:pPr>
        <w:spacing w:after="160"/>
      </w:pPr>
    </w:p>
    <w:tbl>
      <w:tblPr>
        <w:tblW w:type="dxa" w:w="9360"/>
        <w:tblBorders>
          <w:top w:val="single" w:color="1B6CA8" w:sz="4"/>
          <w:left w:val="single" w:color="1B6CA8" w:sz="18"/>
          <w:bottom w:val="single" w:color="1B6CA8" w:sz="4"/>
          <w:right w:val="single" w:color="1B6CA8" w:sz="4"/>
          <w:insideH w:val="none"/>
          <w:insideV w:val="none"/>
        </w:tblBorders>
      </w:tblPr>
      <w:tblGrid>
        <w:gridCol w:w="9360"/>
      </w:tblGrid>
      <w:tr>
        <w:tc>
          <w:tcPr>
            <w:tcW w:type="dxa" w:w="9360"/>
            <w:shd w:fill="F2F5F8" w:color="auto" w:val="clear"/>
            <w:tcMar>
              <w:top w:type="dxa" w:w="140"/>
              <w:left w:type="dxa" w:w="160"/>
              <w:bottom w:type="dxa" w:w="140"/>
              <w:right w:type="dxa" w:w="160"/>
            </w:tcMar>
          </w:tcPr>
          <w:p>
            <w:pPr>
              <w:spacing w:after="60"/>
            </w:pPr>
            <w:r>
              <w:rPr>
                <w:rFonts w:ascii="Calibri" w:cs="Calibri" w:eastAsia="Calibri" w:hAnsi="Calibri"/>
                <w:b/>
                <w:bCs/>
                <w:color w:val="1B6CA8"/>
                <w:sz w:val="19"/>
                <w:szCs w:val="19"/>
              </w:rPr>
              <w:t xml:space="preserve">EN CAS DE TENSION CALENDAIRE</w:t>
            </w:r>
          </w:p>
          <w:p>
            <w:pPr>
              <w:spacing w:after="0" w:line="270"/>
            </w:pPr>
            <w:r>
              <w:rPr>
                <w:rFonts w:ascii="Calibri" w:cs="Calibri" w:eastAsia="Calibri" w:hAnsi="Calibri"/>
                <w:sz w:val="19"/>
                <w:szCs w:val="19"/>
              </w:rPr>
              <w:t xml:space="preserve">La coupe se fait sur le référentiel des biens et sur la richesse du tableau de bord, jamais sur le traçage des sources, le compteur de première réponse ni la qualification calculée. Ce sont ces trois fonctions qui portent la démonstration devant le client. Un socle partiel en ligne vaut mieux qu'un socle complet en retard.</w:t>
            </w:r>
          </w:p>
        </w:tc>
      </w:tr>
    </w:tbl>
    <w:p>
      <w:r>
        <w:br w:type="page"/>
      </w:r>
    </w:p>
    <w:p>
      <w:pPr>
        <w:pStyle w:val="Heading1"/>
        <w:spacing w:after="200" w:before="360"/>
      </w:pPr>
      <w:r>
        <w:rPr>
          <w:rFonts w:ascii="Calibri" w:cs="Calibri" w:eastAsia="Calibri" w:hAnsi="Calibri"/>
          <w:b/>
          <w:bCs/>
          <w:color w:val="0B2545"/>
          <w:sz w:val="30"/>
          <w:szCs w:val="30"/>
        </w:rPr>
        <w:t xml:space="preserve">11. Definition of Done</w:t>
      </w:r>
    </w:p>
    <w:p>
      <w:pPr>
        <w:spacing w:after="120" w:line="276"/>
      </w:pPr>
      <w:r>
        <w:rPr>
          <w:rFonts w:ascii="Calibri" w:cs="Calibri" w:eastAsia="Calibri" w:hAnsi="Calibri"/>
          <w:color w:val="222222"/>
          <w:sz w:val="21"/>
          <w:szCs w:val="21"/>
        </w:rPr>
        <w:t xml:space="preserve">Chaque item est un critère de recette. Aucun n'est négociable.</w:t>
      </w:r>
    </w:p>
    <w:p>
      <w:pPr>
        <w:spacing w:after="160"/>
      </w:pPr>
    </w:p>
    <w:p>
      <w:pPr>
        <w:pStyle w:val="ListParagraph"/>
        <w:numPr>
          <w:ilvl w:val="0"/>
          <w:numId w:val="3"/>
        </w:numPr>
        <w:spacing w:after="70" w:line="276"/>
      </w:pPr>
      <w:r>
        <w:rPr>
          <w:rFonts w:ascii="Calibri" w:cs="Calibri" w:eastAsia="Calibri" w:hAnsi="Calibri"/>
          <w:sz w:val="21"/>
          <w:szCs w:val="21"/>
        </w:rPr>
        <w:t xml:space="preserve">Test d'isolation cross-tenant vert en intégration continue</w:t>
      </w:r>
    </w:p>
    <w:p>
      <w:pPr>
        <w:pStyle w:val="ListParagraph"/>
        <w:numPr>
          <w:ilvl w:val="0"/>
          <w:numId w:val="3"/>
        </w:numPr>
        <w:spacing w:after="70" w:line="276"/>
      </w:pPr>
      <w:r>
        <w:rPr>
          <w:rFonts w:ascii="Calibri" w:cs="Calibri" w:eastAsia="Calibri" w:hAnsi="Calibri"/>
          <w:sz w:val="21"/>
          <w:szCs w:val="21"/>
        </w:rPr>
        <w:t xml:space="preserve">Création d'un contact sans source refusée par la base de données</w:t>
      </w:r>
    </w:p>
    <w:p>
      <w:pPr>
        <w:pStyle w:val="ListParagraph"/>
        <w:numPr>
          <w:ilvl w:val="0"/>
          <w:numId w:val="3"/>
        </w:numPr>
        <w:spacing w:after="70" w:line="276"/>
      </w:pPr>
      <w:r>
        <w:rPr>
          <w:rFonts w:ascii="Calibri" w:cs="Calibri" w:eastAsia="Calibri" w:hAnsi="Calibri"/>
          <w:sz w:val="21"/>
          <w:szCs w:val="21"/>
        </w:rPr>
        <w:t xml:space="preserve">Compteur de première réponse correct sur un cas chevauchant un week-end</w:t>
      </w:r>
    </w:p>
    <w:p>
      <w:pPr>
        <w:pStyle w:val="ListParagraph"/>
        <w:numPr>
          <w:ilvl w:val="0"/>
          <w:numId w:val="3"/>
        </w:numPr>
        <w:spacing w:after="70" w:line="276"/>
      </w:pPr>
      <w:r>
        <w:rPr>
          <w:rFonts w:ascii="Calibri" w:cs="Calibri" w:eastAsia="Calibri" w:hAnsi="Calibri"/>
          <w:sz w:val="21"/>
          <w:szCs w:val="21"/>
        </w:rPr>
        <w:t xml:space="preserve">qualified_at non écrivable en dehors de l'observer</w:t>
      </w:r>
    </w:p>
    <w:p>
      <w:pPr>
        <w:pStyle w:val="ListParagraph"/>
        <w:numPr>
          <w:ilvl w:val="0"/>
          <w:numId w:val="3"/>
        </w:numPr>
        <w:spacing w:after="70" w:line="276"/>
      </w:pPr>
      <w:r>
        <w:rPr>
          <w:rFonts w:ascii="Calibri" w:cs="Calibri" w:eastAsia="Calibri" w:hAnsi="Calibri"/>
          <w:sz w:val="21"/>
          <w:szCs w:val="21"/>
        </w:rPr>
        <w:t xml:space="preserve">Séquence interrompue par une réponse entrante du contact</w:t>
      </w:r>
    </w:p>
    <w:p>
      <w:pPr>
        <w:pStyle w:val="ListParagraph"/>
        <w:numPr>
          <w:ilvl w:val="0"/>
          <w:numId w:val="3"/>
        </w:numPr>
        <w:spacing w:after="70" w:line="276"/>
      </w:pPr>
      <w:r>
        <w:rPr>
          <w:rFonts w:ascii="Calibri" w:cs="Calibri" w:eastAsia="Calibri" w:hAnsi="Calibri"/>
          <w:sz w:val="21"/>
          <w:szCs w:val="21"/>
        </w:rPr>
        <w:t xml:space="preserve">Taux de passage calculés depuis status_history</w:t>
      </w:r>
    </w:p>
    <w:p>
      <w:pPr>
        <w:pStyle w:val="ListParagraph"/>
        <w:numPr>
          <w:ilvl w:val="0"/>
          <w:numId w:val="3"/>
        </w:numPr>
        <w:spacing w:after="70" w:line="276"/>
      </w:pPr>
      <w:r>
        <w:rPr>
          <w:rFonts w:ascii="Calibri" w:cs="Calibri" w:eastAsia="Calibri" w:hAnsi="Calibri"/>
          <w:sz w:val="21"/>
          <w:szCs w:val="21"/>
        </w:rPr>
        <w:t xml:space="preserve">Export intégral produit par l'administrateur client sans intervention de LinkUp</w:t>
      </w:r>
    </w:p>
    <w:p>
      <w:pPr>
        <w:pStyle w:val="ListParagraph"/>
        <w:numPr>
          <w:ilvl w:val="0"/>
          <w:numId w:val="3"/>
        </w:numPr>
        <w:spacing w:after="70" w:line="276"/>
      </w:pPr>
      <w:r>
        <w:rPr>
          <w:rFonts w:ascii="Calibri" w:cs="Calibri" w:eastAsia="Calibri" w:hAnsi="Calibri"/>
          <w:sz w:val="21"/>
          <w:szCs w:val="21"/>
        </w:rPr>
        <w:t xml:space="preserve">Rapport PDF de comité exportable sur une période choisie</w:t>
      </w:r>
    </w:p>
    <w:p>
      <w:pPr>
        <w:pStyle w:val="ListParagraph"/>
        <w:numPr>
          <w:ilvl w:val="0"/>
          <w:numId w:val="3"/>
        </w:numPr>
        <w:spacing w:after="70" w:line="276"/>
      </w:pPr>
      <w:r>
        <w:rPr>
          <w:rFonts w:ascii="Calibri" w:cs="Calibri" w:eastAsia="Calibri" w:hAnsi="Calibri"/>
          <w:sz w:val="21"/>
          <w:szCs w:val="21"/>
        </w:rPr>
        <w:t xml:space="preserve">Restauration de sauvegarde réalisée et documentée</w:t>
      </w:r>
    </w:p>
    <w:p>
      <w:pPr>
        <w:pStyle w:val="ListParagraph"/>
        <w:numPr>
          <w:ilvl w:val="0"/>
          <w:numId w:val="3"/>
        </w:numPr>
        <w:spacing w:after="70" w:line="276"/>
      </w:pPr>
      <w:r>
        <w:rPr>
          <w:rFonts w:ascii="Calibri" w:cs="Calibri" w:eastAsia="Calibri" w:hAnsi="Calibri"/>
          <w:sz w:val="21"/>
          <w:szCs w:val="21"/>
        </w:rPr>
        <w:t xml:space="preserve">Aucune règle ni libellé client en dur dans le code</w:t>
      </w:r>
    </w:p>
    <w:p>
      <w:pPr>
        <w:pStyle w:val="ListParagraph"/>
        <w:numPr>
          <w:ilvl w:val="0"/>
          <w:numId w:val="3"/>
        </w:numPr>
        <w:spacing w:after="70" w:line="276"/>
      </w:pPr>
      <w:r>
        <w:rPr>
          <w:rFonts w:ascii="Calibri" w:cs="Calibri" w:eastAsia="Calibri" w:hAnsi="Calibri"/>
          <w:sz w:val="21"/>
          <w:szCs w:val="21"/>
        </w:rPr>
        <w:t xml:space="preserve">Liste de 5 000 contacts affichée en moins de deux secondes</w:t>
      </w:r>
    </w:p>
    <w:p>
      <w:r>
        <w:br w:type="page"/>
      </w:r>
    </w:p>
    <w:p>
      <w:pPr>
        <w:pStyle w:val="Heading1"/>
        <w:spacing w:after="200" w:before="360"/>
      </w:pPr>
      <w:r>
        <w:rPr>
          <w:rFonts w:ascii="Calibri" w:cs="Calibri" w:eastAsia="Calibri" w:hAnsi="Calibri"/>
          <w:b/>
          <w:bCs/>
          <w:color w:val="0B2545"/>
          <w:sz w:val="30"/>
          <w:szCs w:val="30"/>
        </w:rPr>
        <w:t xml:space="preserve">12. Note d'architecture — à produire au démarrage</w:t>
      </w:r>
    </w:p>
    <w:p>
      <w:pPr>
        <w:spacing w:after="120" w:line="276"/>
      </w:pPr>
      <w:r>
        <w:rPr>
          <w:rFonts w:ascii="Calibri" w:cs="Calibri" w:eastAsia="Calibri" w:hAnsi="Calibri"/>
          <w:color w:val="222222"/>
          <w:sz w:val="21"/>
          <w:szCs w:val="21"/>
        </w:rPr>
        <w:t xml:space="preserve">Le contrat cède au client les paramétrages du CRM (article 10.1) et réserve à LinkUp ses briques génériques préexistantes (article 10.2). Concrètement :</w:t>
      </w:r>
    </w:p>
    <w:p>
      <w:pPr>
        <w:pStyle w:val="ListParagraph"/>
        <w:numPr>
          <w:ilvl w:val="0"/>
          <w:numId w:val="2"/>
        </w:numPr>
        <w:spacing w:after="60" w:line="276"/>
      </w:pPr>
      <w:r>
        <w:rPr>
          <w:rFonts w:ascii="Calibri" w:cs="Calibri" w:eastAsia="Calibri" w:hAnsi="Calibri"/>
          <w:sz w:val="21"/>
          <w:szCs w:val="21"/>
        </w:rPr>
        <w:t xml:space="preserve">Le moteur — tenancy, séquences, compteur de réponse, qualification, tableau de bord — constitue le socle LinkUp, versionné dans un dépôt distinct.</w:t>
      </w:r>
    </w:p>
    <w:p>
      <w:pPr>
        <w:pStyle w:val="ListParagraph"/>
        <w:numPr>
          <w:ilvl w:val="0"/>
          <w:numId w:val="2"/>
        </w:numPr>
        <w:spacing w:after="60" w:line="276"/>
      </w:pPr>
      <w:r>
        <w:rPr>
          <w:rFonts w:ascii="Calibri" w:cs="Calibri" w:eastAsia="Calibri" w:hAnsi="Calibri"/>
          <w:sz w:val="21"/>
          <w:szCs w:val="21"/>
        </w:rPr>
        <w:t xml:space="preserve">Le paramétrage GRET INVEST — settings JSONB, templates de messages, trajectoire cible, thème — est ce qui leur est cédé.</w:t>
      </w:r>
    </w:p>
    <w:p>
      <w:pPr>
        <w:spacing w:after="160"/>
      </w:pPr>
    </w:p>
    <w:tbl>
      <w:tblPr>
        <w:tblW w:type="dxa" w:w="9360"/>
        <w:tblBorders>
          <w:top w:val="single" w:color="1B6CA8" w:sz="4"/>
          <w:left w:val="single" w:color="1B6CA8" w:sz="18"/>
          <w:bottom w:val="single" w:color="1B6CA8" w:sz="4"/>
          <w:right w:val="single" w:color="1B6CA8" w:sz="4"/>
          <w:insideH w:val="none"/>
          <w:insideV w:val="none"/>
        </w:tblBorders>
      </w:tblPr>
      <w:tblGrid>
        <w:gridCol w:w="9360"/>
      </w:tblGrid>
      <w:tr>
        <w:tc>
          <w:tcPr>
            <w:tcW w:type="dxa" w:w="9360"/>
            <w:shd w:fill="F2F5F8" w:color="auto" w:val="clear"/>
            <w:tcMar>
              <w:top w:type="dxa" w:w="140"/>
              <w:left w:type="dxa" w:w="160"/>
              <w:bottom w:type="dxa" w:w="140"/>
              <w:right w:type="dxa" w:w="160"/>
            </w:tcMar>
          </w:tcPr>
          <w:p>
            <w:pPr>
              <w:spacing w:after="60"/>
            </w:pPr>
            <w:r>
              <w:rPr>
                <w:rFonts w:ascii="Calibri" w:cs="Calibri" w:eastAsia="Calibri" w:hAnsi="Calibri"/>
                <w:b/>
                <w:bCs/>
                <w:color w:val="1B6CA8"/>
                <w:sz w:val="19"/>
                <w:szCs w:val="19"/>
              </w:rPr>
              <w:t xml:space="preserve">POINT JURIDIQUE</w:t>
            </w:r>
          </w:p>
          <w:p>
            <w:pPr>
              <w:spacing w:after="0" w:line="270"/>
            </w:pPr>
            <w:r>
              <w:rPr>
                <w:rFonts w:ascii="Calibri" w:cs="Calibri" w:eastAsia="Calibri" w:hAnsi="Calibri"/>
                <w:sz w:val="19"/>
                <w:szCs w:val="19"/>
              </w:rPr>
              <w:t xml:space="preserve">Cette séparation doit être effective dans l'organisation du code, pas seulement affirmée dans un document. Sans elle, LinkUp cède son produit au prix d'un lot. La note d'architecture attestant la distinction doit être établie au démarrage et conservée.</w:t>
            </w:r>
          </w:p>
        </w:tc>
      </w:tr>
    </w:tbl>
    <w:p>
      <w:pPr>
        <w:spacing w:after="160"/>
      </w:pPr>
    </w:p>
    <w:p>
      <w:pPr>
        <w:pStyle w:val="Heading2"/>
        <w:spacing w:after="140" w:before="260"/>
      </w:pPr>
      <w:r>
        <w:rPr>
          <w:rFonts w:ascii="Calibri" w:cs="Calibri" w:eastAsia="Calibri" w:hAnsi="Calibri"/>
          <w:b/>
          <w:bCs/>
          <w:color w:val="1B6CA8"/>
          <w:sz w:val="24"/>
          <w:szCs w:val="24"/>
        </w:rPr>
        <w:t xml:space="preserve">12.1 À trancher avant la semaine 1</w:t>
      </w:r>
    </w:p>
    <w:tbl>
      <w:tblPr>
        <w:tblW w:type="dxa" w:w="9360"/>
        <w:tblBorders>
          <w:top w:val="single" w:color="D9E1E8" w:sz="4"/>
          <w:left w:val="single" w:color="D9E1E8" w:sz="4"/>
          <w:bottom w:val="single" w:color="D9E1E8" w:sz="4"/>
          <w:right w:val="single" w:color="D9E1E8" w:sz="4"/>
          <w:insideH w:val="single" w:color="D9E1E8" w:sz="4"/>
          <w:insideV w:val="single" w:color="D9E1E8" w:sz="4"/>
        </w:tblBorders>
      </w:tblPr>
      <w:tblGrid>
        <w:gridCol w:w="700"/>
        <w:gridCol w:w="5660"/>
        <w:gridCol w:w="3000"/>
      </w:tblGrid>
      <w:tr>
        <w:trPr>
          <w:tblHeader/>
        </w:trPr>
        <w:tc>
          <w:tcPr>
            <w:tcW w:type="dxa" w:w="70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N°</w:t>
            </w:r>
          </w:p>
        </w:tc>
        <w:tc>
          <w:tcPr>
            <w:tcW w:type="dxa" w:w="566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DÉCISION</w:t>
            </w:r>
          </w:p>
        </w:tc>
        <w:tc>
          <w:tcPr>
            <w:tcW w:type="dxa" w:w="3000"/>
            <w:shd w:fill="0B2545" w:color="auto" w:val="clear"/>
            <w:tcMar>
              <w:top w:type="dxa" w:w="80"/>
              <w:left w:type="dxa" w:w="110"/>
              <w:bottom w:type="dxa" w:w="80"/>
              <w:right w:type="dxa" w:w="110"/>
            </w:tcMar>
          </w:tcPr>
          <w:p>
            <w:pPr>
              <w:spacing w:after="0" w:line="260"/>
            </w:pPr>
            <w:r>
              <w:rPr>
                <w:rFonts w:ascii="Calibri" w:cs="Calibri" w:eastAsia="Calibri" w:hAnsi="Calibri"/>
                <w:b/>
                <w:bCs/>
                <w:color w:val="FFFFFF"/>
                <w:sz w:val="18"/>
                <w:szCs w:val="18"/>
              </w:rPr>
              <w:t xml:space="preserve">PORTÉE PAR</w:t>
            </w:r>
          </w:p>
        </w:tc>
      </w:tr>
      <w:tr>
        <w:tc>
          <w:tcPr>
            <w:tcW w:type="dxa" w:w="7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1</w:t>
            </w:r>
          </w:p>
        </w:tc>
        <w:tc>
          <w:tcPr>
            <w:tcW w:type="dxa" w:w="56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Validation des quatre conditions de qualification</w:t>
            </w:r>
          </w:p>
        </w:tc>
        <w:tc>
          <w:tcPr>
            <w:tcW w:type="dxa" w:w="30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Direction GRET INVEST</w:t>
            </w:r>
          </w:p>
        </w:tc>
      </w:tr>
      <w:tr>
        <w:tc>
          <w:tcPr>
            <w:tcW w:type="dxa" w:w="7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2</w:t>
            </w:r>
          </w:p>
        </w:tc>
        <w:tc>
          <w:tcPr>
            <w:tcW w:type="dxa" w:w="56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Responsable et suppléant de la règle des deux heures, et leur plage de couverture</w:t>
            </w:r>
          </w:p>
        </w:tc>
        <w:tc>
          <w:tcPr>
            <w:tcW w:type="dxa" w:w="30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Direction GRET INVEST</w:t>
            </w:r>
          </w:p>
        </w:tc>
      </w:tr>
      <w:tr>
        <w:tc>
          <w:tcPr>
            <w:tcW w:type="dxa" w:w="7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3</w:t>
            </w:r>
          </w:p>
        </w:tc>
        <w:tc>
          <w:tcPr>
            <w:tcW w:type="dxa" w:w="56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Format et volumétrie de la base de contacts existante à importer</w:t>
            </w:r>
          </w:p>
        </w:tc>
        <w:tc>
          <w:tcPr>
            <w:tcW w:type="dxa" w:w="30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GRET INVEST</w:t>
            </w:r>
          </w:p>
        </w:tc>
      </w:tr>
      <w:tr>
        <w:tc>
          <w:tcPr>
            <w:tcW w:type="dxa" w:w="7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4</w:t>
            </w:r>
          </w:p>
        </w:tc>
        <w:tc>
          <w:tcPr>
            <w:tcW w:type="dxa" w:w="566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Ouverture du compte WhatsApp Business et soumission des templates</w:t>
            </w:r>
          </w:p>
        </w:tc>
        <w:tc>
          <w:tcPr>
            <w:tcW w:type="dxa" w:w="3000"/>
            <w:shd w:fill="F2F5F8" w:color="auto" w:val="clear"/>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LinkUp — jour 1</w:t>
            </w:r>
          </w:p>
        </w:tc>
      </w:tr>
      <w:tr>
        <w:tc>
          <w:tcPr>
            <w:tcW w:type="dxa" w:w="7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5</w:t>
            </w:r>
          </w:p>
        </w:tc>
        <w:tc>
          <w:tcPr>
            <w:tcW w:type="dxa" w:w="566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Séparation du dépôt socle et du paramétrage client</w:t>
            </w:r>
          </w:p>
        </w:tc>
        <w:tc>
          <w:tcPr>
            <w:tcW w:type="dxa" w:w="3000"/>
            <w:tcMar>
              <w:top w:type="dxa" w:w="80"/>
              <w:left w:type="dxa" w:w="110"/>
              <w:bottom w:type="dxa" w:w="80"/>
              <w:right w:type="dxa" w:w="110"/>
            </w:tcMar>
          </w:tcPr>
          <w:p>
            <w:pPr>
              <w:spacing w:after="0" w:line="260"/>
            </w:pPr>
            <w:r>
              <w:rPr>
                <w:rFonts w:ascii="Calibri" w:cs="Calibri" w:eastAsia="Calibri" w:hAnsi="Calibri"/>
                <w:color w:val="222222"/>
                <w:sz w:val="19"/>
                <w:szCs w:val="19"/>
              </w:rPr>
              <w:t xml:space="preserve">LinkUp — Tech Lead</w:t>
            </w:r>
          </w:p>
        </w:tc>
      </w:tr>
    </w:tbl>
    <w:p>
      <w:pPr>
        <w:spacing w:after="160"/>
      </w:pPr>
    </w:p>
    <w:p>
      <w:pPr>
        <w:spacing w:after="160"/>
      </w:pPr>
    </w:p>
    <w:p>
      <w:pPr>
        <w:spacing w:after="120" w:line="276"/>
        <w:jc w:val="center"/>
      </w:pPr>
      <w:r>
        <w:rPr>
          <w:rFonts w:ascii="Calibri" w:cs="Calibri" w:eastAsia="Calibri" w:hAnsi="Calibri"/>
          <w:color w:val="777777"/>
          <w:sz w:val="17"/>
          <w:szCs w:val="17"/>
        </w:rPr>
        <w:t xml:space="preserve">LinkUp Technologies · RCCM SN.DKR.2026.B.18773 — NINEA 013085049 · contact@linkup.sn · +221 78 596 26 62</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LinkUp Technologies · Spécification technique CRM immobilier V1 · Confidentiel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bullet"/>
      <w:lvlText w:val="□"/>
      <w:lvlJc w:val="left"/>
      <w:pPr>
        <w:ind w:left="43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technique — CRM immobilier V1</dc:title>
  <dc:creator>LinkUp Technologies</dc:creator>
  <cp:lastModifiedBy>Un-named</cp:lastModifiedBy>
  <cp:revision>1</cp:revision>
  <dcterms:created xsi:type="dcterms:W3CDTF">2026-08-19T20:06:01.319Z</dcterms:created>
  <dcterms:modified xsi:type="dcterms:W3CDTF">2026-08-19T20:06:01.332Z</dcterms:modified>
</cp:coreProperties>
</file>

<file path=docProps/custom.xml><?xml version="1.0" encoding="utf-8"?>
<Properties xmlns="http://schemas.openxmlformats.org/officeDocument/2006/custom-properties" xmlns:vt="http://schemas.openxmlformats.org/officeDocument/2006/docPropsVTypes"/>
</file>