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Arial" w:cs="Arial" w:eastAsia="Arial" w:hAnsi="Arial"/>
          <w:b/>
          <w:bCs/>
          <w:color w:val="1E293B"/>
          <w:sz w:val="52"/>
          <w:szCs w:val="52"/>
        </w:rPr>
        <w:t xml:space="preserve">Cristian Felipe Rodríguez Ospino</w:t>
      </w:r>
    </w:p>
    <w:p>
      <w:pPr>
        <w:spacing w:after="80" w:before="0"/>
      </w:pPr>
      <w:r>
        <w:rPr>
          <w:rFonts w:ascii="Arial" w:cs="Arial" w:eastAsia="Arial" w:hAnsi="Arial"/>
          <w:color w:val="1D4ED8"/>
          <w:sz w:val="24"/>
          <w:szCs w:val="24"/>
        </w:rPr>
        <w:t xml:space="preserve">Biomedical Engineer  ·  Researcher  ·  AI &amp; Computational Modeling</w:t>
      </w:r>
    </w:p>
    <w:p>
      <w:pPr>
        <w:tabs>
          <w:tab w:val="left" w:pos="2200"/>
          <w:tab w:val="left" w:pos="4800"/>
          <w:tab w:val="left" w:pos="7600"/>
        </w:tabs>
        <w:spacing w:after="0" w:before="0"/>
      </w:pPr>
      <w:r>
        <w:rPr>
          <w:rFonts w:ascii="Arial" w:cs="Arial" w:eastAsia="Arial" w:hAnsi="Arial"/>
          <w:color w:val="64748B"/>
          <w:sz w:val="19"/>
          <w:szCs w:val="19"/>
        </w:rPr>
        <w:t xml:space="preserve">Bogota, Colombia</w:t>
      </w:r>
      <w:r>
        <w:rPr>
          <w:rFonts w:ascii="Arial" w:cs="Arial" w:eastAsia="Arial" w:hAnsi="Arial"/>
          <w:sz w:val="19"/>
          <w:szCs w:val="19"/>
        </w:rPr>
        <w:t xml:space="preserve">	</w:t>
      </w:r>
      <w:r>
        <w:rPr>
          <w:rFonts w:ascii="Arial" w:cs="Arial" w:eastAsia="Arial" w:hAnsi="Arial"/>
          <w:color w:val="64748B"/>
          <w:sz w:val="19"/>
          <w:szCs w:val="19"/>
        </w:rPr>
        <w:t xml:space="preserve">Universidad de los Andes  |  QS #212</w:t>
      </w:r>
      <w:r>
        <w:rPr>
          <w:rFonts w:ascii="Arial" w:cs="Arial" w:eastAsia="Arial" w:hAnsi="Arial"/>
          <w:sz w:val="19"/>
          <w:szCs w:val="19"/>
        </w:rPr>
        <w:t xml:space="preserve">	</w:t>
      </w:r>
      <w:hyperlink w:history="1" r:id="rIdorlorjec0gxhgjbqhmpls">
        <w:r>
          <w:rPr>
            <w:rFonts w:ascii="Arial" w:cs="Arial" w:eastAsia="Arial" w:hAnsi="Arial"/>
            <w:color w:val="1D4ED8"/>
            <w:sz w:val="19"/>
            <w:szCs w:val="19"/>
            <w:u w:val="single"/>
          </w:rPr>
          <w:t xml:space="preserve">Google Scholar</w:t>
        </w:r>
      </w:hyperlink>
      <w:r>
        <w:rPr>
          <w:rFonts w:ascii="Arial" w:cs="Arial" w:eastAsia="Arial" w:hAnsi="Arial"/>
          <w:sz w:val="19"/>
          <w:szCs w:val="19"/>
        </w:rPr>
        <w:t xml:space="preserve">	</w:t>
      </w:r>
      <w:hyperlink w:history="1" r:id="rIdfvmdpi8na6umx3odnovtj">
        <w:r>
          <w:rPr>
            <w:rFonts w:ascii="Arial" w:cs="Arial" w:eastAsia="Arial" w:hAnsi="Arial"/>
            <w:color w:val="1D4ED8"/>
            <w:sz w:val="19"/>
            <w:szCs w:val="19"/>
            <w:u w:val="single"/>
          </w:rPr>
          <w:t xml:space="preserve">LinkedIn</w:t>
        </w:r>
      </w:hyperlink>
    </w:p>
    <w:p>
      <w:pPr>
        <w:spacing w:after="0" w:before="120"/>
      </w:pPr>
    </w:p>
    <w:p>
      <w:pPr>
        <w:pBdr>
          <w:bottom w:val="single" w:color="CBD5E1" w:sz="6"/>
        </w:pBdr>
        <w:spacing w:after="120" w:before="0"/>
      </w:pPr>
    </w:p>
    <w:p>
      <w:pPr>
        <w:spacing w:after="60" w:before="280"/>
      </w:pPr>
      <w:r>
        <w:rPr>
          <w:rFonts w:ascii="Arial" w:cs="Arial" w:eastAsia="Arial" w:hAnsi="Arial"/>
          <w:b/>
          <w:bCs/>
          <w:color w:val="1D4ED8"/>
          <w:spacing w:val="40"/>
          <w:sz w:val="22"/>
          <w:szCs w:val="22"/>
        </w:rPr>
        <w:t xml:space="preserve">PROFILE</w:t>
      </w:r>
    </w:p>
    <w:p>
      <w:pPr>
        <w:pBdr>
          <w:bottom w:val="single" w:color="1D4ED8" w:sz="6"/>
        </w:pBdr>
        <w:spacing w:after="140" w:before="0"/>
      </w:pPr>
    </w:p>
    <w:p>
      <w:pPr>
        <w:spacing w:after="120" w:before="0"/>
      </w:pPr>
      <w:r>
        <w:rPr>
          <w:rFonts w:ascii="Arial" w:cs="Arial" w:eastAsia="Arial" w:hAnsi="Arial"/>
          <w:color w:val="1E293B"/>
          <w:sz w:val="21"/>
          <w:szCs w:val="21"/>
        </w:rPr>
        <w:t xml:space="preserve">Biomedical engineer with expertise in generative AI, machine learning, and multiphysics computational modeling applied to biomedical challenges. I design AI-driven models to accelerate drug discovery, diagnose neurodegenerative diseases, and optimize bioprinting processes. Currently teaching five graduate courses at the Faculty of Engineering and conducting research at the intersection of nanomaterials, microfluidics, and artificial intelligence. 13 peer-reviewed publications, 3 book chapters, h-index 9, 207 citations.</w:t>
      </w:r>
    </w:p>
    <w:p>
      <w:pPr>
        <w:spacing w:after="60" w:before="280"/>
      </w:pPr>
      <w:r>
        <w:rPr>
          <w:rFonts w:ascii="Arial" w:cs="Arial" w:eastAsia="Arial" w:hAnsi="Arial"/>
          <w:b/>
          <w:bCs/>
          <w:color w:val="1D4ED8"/>
          <w:spacing w:val="40"/>
          <w:sz w:val="22"/>
          <w:szCs w:val="22"/>
        </w:rPr>
        <w:t xml:space="preserve">RESEARCH IMPACT</w:t>
      </w:r>
    </w:p>
    <w:p>
      <w:pPr>
        <w:pBdr>
          <w:bottom w:val="single" w:color="1D4ED8" w:sz="6"/>
        </w:pBdr>
        <w:spacing w:after="140" w:before="0"/>
      </w:pPr>
    </w:p>
    <w:tbl>
      <w:tblPr>
        <w:tblW w:type="dxa" w:w="9936"/>
        <w:tblBorders>
          <w:top w:val="none" w:color="FFFFFF" w:sz="0"/>
          <w:left w:val="none" w:color="FFFFFF" w:sz="0"/>
          <w:bottom w:val="none" w:color="FFFFFF" w:sz="0"/>
          <w:right w:val="none" w:color="FFFFFF" w:sz="0"/>
          <w:insideH w:val="single" w:color="auto" w:sz="4"/>
          <w:insideV w:val="single" w:color="auto" w:sz="4"/>
        </w:tblBorders>
      </w:tblPr>
      <w:tblGrid>
        <w:gridCol w:w="2484"/>
        <w:gridCol w:w="2484"/>
        <w:gridCol w:w="2484"/>
        <w:gridCol w:w="2484"/>
      </w:tblGrid>
      <w:tr>
        <w:tc>
          <w:tcPr>
            <w:tcW w:type="dxa" w:w="2484"/>
            <w:tcBorders>
              <w:top w:val="none" w:color="FFFFFF" w:sz="0"/>
              <w:left w:val="none" w:color="FFFFFF" w:sz="0"/>
              <w:bottom w:val="none" w:color="FFFFFF" w:sz="0"/>
              <w:right w:val="none" w:color="FFFFFF" w:sz="0"/>
            </w:tcBorders>
            <w:shd w:fill="EFF6FF" w:val="clear"/>
            <w:tcMar>
              <w:top w:type="dxa" w:w="120"/>
              <w:left w:type="dxa" w:w="160"/>
              <w:bottom w:type="dxa" w:w="120"/>
              <w:right w:type="dxa" w:w="160"/>
            </w:tcMar>
          </w:tcPr>
          <w:p>
            <w:pPr>
              <w:spacing w:after="40" w:before="0"/>
              <w:jc w:val="center"/>
            </w:pPr>
            <w:r>
              <w:rPr>
                <w:rFonts w:ascii="Arial" w:cs="Arial" w:eastAsia="Arial" w:hAnsi="Arial"/>
                <w:b/>
                <w:bCs/>
                <w:color w:val="1D4ED8"/>
                <w:sz w:val="32"/>
                <w:szCs w:val="32"/>
              </w:rPr>
              <w:t xml:space="preserve">13</w:t>
            </w:r>
          </w:p>
          <w:p>
            <w:pPr>
              <w:spacing w:after="0" w:before="0"/>
              <w:jc w:val="center"/>
            </w:pPr>
            <w:r>
              <w:rPr>
                <w:rFonts w:ascii="Arial" w:cs="Arial" w:eastAsia="Arial" w:hAnsi="Arial"/>
                <w:color w:val="64748B"/>
                <w:sz w:val="17"/>
                <w:szCs w:val="17"/>
              </w:rPr>
              <w:t xml:space="preserve">Publications</w:t>
            </w:r>
          </w:p>
        </w:tc>
        <w:tc>
          <w:tcPr>
            <w:tcW w:type="dxa" w:w="2484"/>
            <w:tcBorders>
              <w:top w:val="none" w:color="FFFFFF" w:sz="0"/>
              <w:left w:val="none" w:color="FFFFFF" w:sz="0"/>
              <w:bottom w:val="none" w:color="FFFFFF" w:sz="0"/>
              <w:right w:val="none" w:color="FFFFFF" w:sz="0"/>
            </w:tcBorders>
            <w:shd w:fill="EFF6FF" w:val="clear"/>
            <w:tcMar>
              <w:top w:type="dxa" w:w="120"/>
              <w:left w:type="dxa" w:w="160"/>
              <w:bottom w:type="dxa" w:w="120"/>
              <w:right w:type="dxa" w:w="160"/>
            </w:tcMar>
          </w:tcPr>
          <w:p>
            <w:pPr>
              <w:spacing w:after="40" w:before="0"/>
              <w:jc w:val="center"/>
            </w:pPr>
            <w:r>
              <w:rPr>
                <w:rFonts w:ascii="Arial" w:cs="Arial" w:eastAsia="Arial" w:hAnsi="Arial"/>
                <w:b/>
                <w:bCs/>
                <w:color w:val="1D4ED8"/>
                <w:sz w:val="32"/>
                <w:szCs w:val="32"/>
              </w:rPr>
              <w:t xml:space="preserve">207</w:t>
            </w:r>
          </w:p>
          <w:p>
            <w:pPr>
              <w:spacing w:after="0" w:before="0"/>
              <w:jc w:val="center"/>
            </w:pPr>
            <w:r>
              <w:rPr>
                <w:rFonts w:ascii="Arial" w:cs="Arial" w:eastAsia="Arial" w:hAnsi="Arial"/>
                <w:color w:val="64748B"/>
                <w:sz w:val="17"/>
                <w:szCs w:val="17"/>
              </w:rPr>
              <w:t xml:space="preserve">Citations</w:t>
            </w:r>
          </w:p>
        </w:tc>
        <w:tc>
          <w:tcPr>
            <w:tcW w:type="dxa" w:w="2484"/>
            <w:tcBorders>
              <w:top w:val="none" w:color="FFFFFF" w:sz="0"/>
              <w:left w:val="none" w:color="FFFFFF" w:sz="0"/>
              <w:bottom w:val="none" w:color="FFFFFF" w:sz="0"/>
              <w:right w:val="none" w:color="FFFFFF" w:sz="0"/>
            </w:tcBorders>
            <w:shd w:fill="EFF6FF" w:val="clear"/>
            <w:tcMar>
              <w:top w:type="dxa" w:w="120"/>
              <w:left w:type="dxa" w:w="160"/>
              <w:bottom w:type="dxa" w:w="120"/>
              <w:right w:type="dxa" w:w="160"/>
            </w:tcMar>
          </w:tcPr>
          <w:p>
            <w:pPr>
              <w:spacing w:after="40" w:before="0"/>
              <w:jc w:val="center"/>
            </w:pPr>
            <w:r>
              <w:rPr>
                <w:rFonts w:ascii="Arial" w:cs="Arial" w:eastAsia="Arial" w:hAnsi="Arial"/>
                <w:b/>
                <w:bCs/>
                <w:color w:val="1D4ED8"/>
                <w:sz w:val="32"/>
                <w:szCs w:val="32"/>
              </w:rPr>
              <w:t xml:space="preserve">9 / 8</w:t>
            </w:r>
          </w:p>
          <w:p>
            <w:pPr>
              <w:spacing w:after="0" w:before="0"/>
              <w:jc w:val="center"/>
            </w:pPr>
            <w:r>
              <w:rPr>
                <w:rFonts w:ascii="Arial" w:cs="Arial" w:eastAsia="Arial" w:hAnsi="Arial"/>
                <w:color w:val="64748B"/>
                <w:sz w:val="17"/>
                <w:szCs w:val="17"/>
              </w:rPr>
              <w:t xml:space="preserve">h-index / i10-index</w:t>
            </w:r>
          </w:p>
        </w:tc>
        <w:tc>
          <w:tcPr>
            <w:tcW w:type="dxa" w:w="2484"/>
            <w:tcBorders>
              <w:top w:val="none" w:color="FFFFFF" w:sz="0"/>
              <w:left w:val="none" w:color="FFFFFF" w:sz="0"/>
              <w:bottom w:val="none" w:color="FFFFFF" w:sz="0"/>
              <w:right w:val="none" w:color="FFFFFF" w:sz="0"/>
            </w:tcBorders>
            <w:shd w:fill="EFF6FF" w:val="clear"/>
            <w:tcMar>
              <w:top w:type="dxa" w:w="120"/>
              <w:left w:type="dxa" w:w="160"/>
              <w:bottom w:type="dxa" w:w="120"/>
              <w:right w:type="dxa" w:w="160"/>
            </w:tcMar>
          </w:tcPr>
          <w:p>
            <w:pPr>
              <w:spacing w:after="40" w:before="0"/>
              <w:jc w:val="center"/>
            </w:pPr>
            <w:r>
              <w:rPr>
                <w:rFonts w:ascii="Arial" w:cs="Arial" w:eastAsia="Arial" w:hAnsi="Arial"/>
                <w:b/>
                <w:bCs/>
                <w:color w:val="1D4ED8"/>
                <w:sz w:val="32"/>
                <w:szCs w:val="32"/>
              </w:rPr>
              <w:t xml:space="preserve">4.9 / 5.0</w:t>
            </w:r>
          </w:p>
          <w:p>
            <w:pPr>
              <w:spacing w:after="0" w:before="0"/>
              <w:jc w:val="center"/>
            </w:pPr>
            <w:r>
              <w:rPr>
                <w:rFonts w:ascii="Arial" w:cs="Arial" w:eastAsia="Arial" w:hAnsi="Arial"/>
                <w:color w:val="64748B"/>
                <w:sz w:val="17"/>
                <w:szCs w:val="17"/>
              </w:rPr>
              <w:t xml:space="preserve">Teaching Evaluation</w:t>
            </w:r>
          </w:p>
        </w:tc>
      </w:tr>
    </w:tbl>
    <w:p>
      <w:pPr>
        <w:spacing w:after="0" w:before="120"/>
      </w:pPr>
    </w:p>
    <w:p>
      <w:pPr>
        <w:spacing w:after="60" w:before="280"/>
      </w:pPr>
      <w:r>
        <w:rPr>
          <w:rFonts w:ascii="Arial" w:cs="Arial" w:eastAsia="Arial" w:hAnsi="Arial"/>
          <w:b/>
          <w:bCs/>
          <w:color w:val="1D4ED8"/>
          <w:spacing w:val="40"/>
          <w:sz w:val="22"/>
          <w:szCs w:val="22"/>
        </w:rPr>
        <w:t xml:space="preserve">AI &amp; TECHNICAL SKILLS</w:t>
      </w:r>
    </w:p>
    <w:p>
      <w:pPr>
        <w:pBdr>
          <w:bottom w:val="single" w:color="1D4ED8" w:sz="6"/>
        </w:pBdr>
        <w:spacing w:after="140" w:before="0"/>
      </w:pPr>
    </w:p>
    <w:tbl>
      <w:tblPr>
        <w:tblW w:type="dxa" w:w="9936"/>
        <w:tblBorders>
          <w:top w:val="none" w:color="FFFFFF" w:sz="0"/>
          <w:left w:val="none" w:color="FFFFFF" w:sz="0"/>
          <w:bottom w:val="none" w:color="FFFFFF" w:sz="0"/>
          <w:right w:val="none" w:color="FFFFFF" w:sz="0"/>
          <w:insideH w:val="single" w:color="auto" w:sz="4"/>
          <w:insideV w:val="single" w:color="auto" w:sz="4"/>
        </w:tblBorders>
      </w:tblPr>
      <w:tblGrid>
        <w:gridCol w:w="2200"/>
        <w:gridCol w:w="7736"/>
      </w:tblGrid>
      <w:tr>
        <w:tc>
          <w:tcPr>
            <w:tcW w:type="dxa" w:w="2200"/>
            <w:tcBorders>
              <w:top w:val="none" w:color="FFFFFF" w:sz="0"/>
              <w:left w:val="none" w:color="FFFFFF" w:sz="0"/>
              <w:bottom w:val="none" w:color="FFFFFF" w:sz="0"/>
              <w:right w:val="none" w:color="FFFFFF" w:sz="0"/>
            </w:tcBorders>
            <w:shd w:fill="F8FAFC" w:val="clear"/>
            <w:tcMar>
              <w:top w:type="dxa" w:w="80"/>
              <w:left w:type="dxa" w:w="100"/>
              <w:bottom w:type="dxa" w:w="80"/>
              <w:right w:type="dxa" w:w="80"/>
            </w:tcMar>
            <w:vAlign w:val="top"/>
          </w:tcPr>
          <w:p>
            <w:r>
              <w:rPr>
                <w:rFonts w:ascii="Arial" w:cs="Arial" w:eastAsia="Arial" w:hAnsi="Arial"/>
                <w:b/>
                <w:bCs/>
                <w:color w:val="1D4ED8"/>
                <w:sz w:val="19"/>
                <w:szCs w:val="19"/>
              </w:rPr>
              <w:t xml:space="preserve">Generative AI &amp; ML</w:t>
            </w:r>
          </w:p>
        </w:tc>
        <w:tc>
          <w:tcPr>
            <w:tcW w:type="dxa" w:w="7736"/>
            <w:tcBorders>
              <w:top w:val="none" w:color="FFFFFF" w:sz="0"/>
              <w:left w:val="none" w:color="FFFFFF" w:sz="0"/>
              <w:bottom w:val="none" w:color="FFFFFF" w:sz="0"/>
              <w:right w:val="none" w:color="FFFFFF" w:sz="0"/>
            </w:tcBorders>
            <w:shd w:fill="F8FAFC" w:val="clear"/>
            <w:tcMar>
              <w:top w:type="dxa" w:w="80"/>
              <w:left w:type="dxa" w:w="100"/>
              <w:bottom w:type="dxa" w:w="80"/>
              <w:right w:type="dxa" w:w="80"/>
            </w:tcMar>
            <w:vAlign w:val="top"/>
          </w:tcPr>
          <w:p>
            <w:r>
              <w:rPr>
                <w:rFonts w:ascii="Arial" w:cs="Arial" w:eastAsia="Arial" w:hAnsi="Arial"/>
                <w:color w:val="1E293B"/>
                <w:sz w:val="19"/>
                <w:szCs w:val="19"/>
              </w:rPr>
              <w:t xml:space="preserve">Neural networks (PyTorch / TensorFlow), Graph Neural Networks, ML-assisted screening, predictive modeling for biomedical datasets, AI-driven nanomaterial analysis</w:t>
            </w:r>
          </w:p>
        </w:tc>
      </w:tr>
      <w:tr>
        <w:tc>
          <w:tcPr>
            <w:tcW w:type="dxa" w:w="2200"/>
            <w:tcBorders>
              <w:top w:val="none" w:color="FFFFFF" w:sz="0"/>
              <w:left w:val="none" w:color="FFFFFF" w:sz="0"/>
              <w:bottom w:val="none" w:color="FFFFFF" w:sz="0"/>
              <w:right w:val="none" w:color="FFFFFF" w:sz="0"/>
            </w:tcBorders>
            <w:shd w:fill="FFFFFF" w:val="clear"/>
            <w:tcMar>
              <w:top w:type="dxa" w:w="80"/>
              <w:left w:type="dxa" w:w="100"/>
              <w:bottom w:type="dxa" w:w="80"/>
              <w:right w:type="dxa" w:w="80"/>
            </w:tcMar>
            <w:vAlign w:val="top"/>
          </w:tcPr>
          <w:p>
            <w:r>
              <w:rPr>
                <w:rFonts w:ascii="Arial" w:cs="Arial" w:eastAsia="Arial" w:hAnsi="Arial"/>
                <w:b/>
                <w:bCs/>
                <w:color w:val="1D4ED8"/>
                <w:sz w:val="19"/>
                <w:szCs w:val="19"/>
              </w:rPr>
              <w:t xml:space="preserve">Programming</w:t>
            </w:r>
          </w:p>
        </w:tc>
        <w:tc>
          <w:tcPr>
            <w:tcW w:type="dxa" w:w="7736"/>
            <w:tcBorders>
              <w:top w:val="none" w:color="FFFFFF" w:sz="0"/>
              <w:left w:val="none" w:color="FFFFFF" w:sz="0"/>
              <w:bottom w:val="none" w:color="FFFFFF" w:sz="0"/>
              <w:right w:val="none" w:color="FFFFFF" w:sz="0"/>
            </w:tcBorders>
            <w:shd w:fill="FFFFFF" w:val="clear"/>
            <w:tcMar>
              <w:top w:type="dxa" w:w="80"/>
              <w:left w:type="dxa" w:w="100"/>
              <w:bottom w:type="dxa" w:w="80"/>
              <w:right w:type="dxa" w:w="80"/>
            </w:tcMar>
            <w:vAlign w:val="top"/>
          </w:tcPr>
          <w:p>
            <w:r>
              <w:rPr>
                <w:rFonts w:ascii="Arial" w:cs="Arial" w:eastAsia="Arial" w:hAnsi="Arial"/>
                <w:color w:val="1E293B"/>
                <w:sz w:val="19"/>
                <w:szCs w:val="19"/>
              </w:rPr>
              <w:t xml:space="preserve">Python (NumPy, Pandas, Scikit-learn, Matplotlib, GROMACS API), JavaScript / TypeScript, MATLAB</w:t>
            </w:r>
          </w:p>
        </w:tc>
      </w:tr>
      <w:tr>
        <w:tc>
          <w:tcPr>
            <w:tcW w:type="dxa" w:w="2200"/>
            <w:tcBorders>
              <w:top w:val="none" w:color="FFFFFF" w:sz="0"/>
              <w:left w:val="none" w:color="FFFFFF" w:sz="0"/>
              <w:bottom w:val="none" w:color="FFFFFF" w:sz="0"/>
              <w:right w:val="none" w:color="FFFFFF" w:sz="0"/>
            </w:tcBorders>
            <w:shd w:fill="F8FAFC" w:val="clear"/>
            <w:tcMar>
              <w:top w:type="dxa" w:w="80"/>
              <w:left w:type="dxa" w:w="100"/>
              <w:bottom w:type="dxa" w:w="80"/>
              <w:right w:type="dxa" w:w="80"/>
            </w:tcMar>
            <w:vAlign w:val="top"/>
          </w:tcPr>
          <w:p>
            <w:r>
              <w:rPr>
                <w:rFonts w:ascii="Arial" w:cs="Arial" w:eastAsia="Arial" w:hAnsi="Arial"/>
                <w:b/>
                <w:bCs/>
                <w:color w:val="1D4ED8"/>
                <w:sz w:val="19"/>
                <w:szCs w:val="19"/>
              </w:rPr>
              <w:t xml:space="preserve">Computational Modeling</w:t>
            </w:r>
          </w:p>
        </w:tc>
        <w:tc>
          <w:tcPr>
            <w:tcW w:type="dxa" w:w="7736"/>
            <w:tcBorders>
              <w:top w:val="none" w:color="FFFFFF" w:sz="0"/>
              <w:left w:val="none" w:color="FFFFFF" w:sz="0"/>
              <w:bottom w:val="none" w:color="FFFFFF" w:sz="0"/>
              <w:right w:val="none" w:color="FFFFFF" w:sz="0"/>
            </w:tcBorders>
            <w:shd w:fill="F8FAFC" w:val="clear"/>
            <w:tcMar>
              <w:top w:type="dxa" w:w="80"/>
              <w:left w:type="dxa" w:w="100"/>
              <w:bottom w:type="dxa" w:w="80"/>
              <w:right w:type="dxa" w:w="80"/>
            </w:tcMar>
            <w:vAlign w:val="top"/>
          </w:tcPr>
          <w:p>
            <w:r>
              <w:rPr>
                <w:rFonts w:ascii="Arial" w:cs="Arial" w:eastAsia="Arial" w:hAnsi="Arial"/>
                <w:color w:val="1E293B"/>
                <w:sz w:val="19"/>
                <w:szCs w:val="19"/>
              </w:rPr>
              <w:t xml:space="preserve">COMSOL Multiphysics (FEM, CFD, magnetostatics, phase-field), molecular dynamics (GROMACS), in-silico bioprinting optimization</w:t>
            </w:r>
          </w:p>
        </w:tc>
      </w:tr>
      <w:tr>
        <w:tc>
          <w:tcPr>
            <w:tcW w:type="dxa" w:w="2200"/>
            <w:tcBorders>
              <w:top w:val="none" w:color="FFFFFF" w:sz="0"/>
              <w:left w:val="none" w:color="FFFFFF" w:sz="0"/>
              <w:bottom w:val="none" w:color="FFFFFF" w:sz="0"/>
              <w:right w:val="none" w:color="FFFFFF" w:sz="0"/>
            </w:tcBorders>
            <w:shd w:fill="FFFFFF" w:val="clear"/>
            <w:tcMar>
              <w:top w:type="dxa" w:w="80"/>
              <w:left w:type="dxa" w:w="100"/>
              <w:bottom w:type="dxa" w:w="80"/>
              <w:right w:type="dxa" w:w="80"/>
            </w:tcMar>
            <w:vAlign w:val="top"/>
          </w:tcPr>
          <w:p>
            <w:r>
              <w:rPr>
                <w:rFonts w:ascii="Arial" w:cs="Arial" w:eastAsia="Arial" w:hAnsi="Arial"/>
                <w:b/>
                <w:bCs/>
                <w:color w:val="1D4ED8"/>
                <w:sz w:val="19"/>
                <w:szCs w:val="19"/>
              </w:rPr>
              <w:t xml:space="preserve">Data Science</w:t>
            </w:r>
          </w:p>
        </w:tc>
        <w:tc>
          <w:tcPr>
            <w:tcW w:type="dxa" w:w="7736"/>
            <w:tcBorders>
              <w:top w:val="none" w:color="FFFFFF" w:sz="0"/>
              <w:left w:val="none" w:color="FFFFFF" w:sz="0"/>
              <w:bottom w:val="none" w:color="FFFFFF" w:sz="0"/>
              <w:right w:val="none" w:color="FFFFFF" w:sz="0"/>
            </w:tcBorders>
            <w:shd w:fill="FFFFFF" w:val="clear"/>
            <w:tcMar>
              <w:top w:type="dxa" w:w="80"/>
              <w:left w:type="dxa" w:w="100"/>
              <w:bottom w:type="dxa" w:w="80"/>
              <w:right w:type="dxa" w:w="80"/>
            </w:tcMar>
            <w:vAlign w:val="top"/>
          </w:tcPr>
          <w:p>
            <w:r>
              <w:rPr>
                <w:rFonts w:ascii="Arial" w:cs="Arial" w:eastAsia="Arial" w:hAnsi="Arial"/>
                <w:color w:val="1E293B"/>
                <w:sz w:val="19"/>
                <w:szCs w:val="19"/>
              </w:rPr>
              <w:t xml:space="preserve">Statistical inference, experimental design, clustering, regression, survival analysis, reproducible research with Jupyter Notebooks</w:t>
            </w:r>
          </w:p>
        </w:tc>
      </w:tr>
      <w:tr>
        <w:tc>
          <w:tcPr>
            <w:tcW w:type="dxa" w:w="2200"/>
            <w:tcBorders>
              <w:top w:val="none" w:color="FFFFFF" w:sz="0"/>
              <w:left w:val="none" w:color="FFFFFF" w:sz="0"/>
              <w:bottom w:val="none" w:color="FFFFFF" w:sz="0"/>
              <w:right w:val="none" w:color="FFFFFF" w:sz="0"/>
            </w:tcBorders>
            <w:shd w:fill="F8FAFC" w:val="clear"/>
            <w:tcMar>
              <w:top w:type="dxa" w:w="80"/>
              <w:left w:type="dxa" w:w="100"/>
              <w:bottom w:type="dxa" w:w="80"/>
              <w:right w:type="dxa" w:w="80"/>
            </w:tcMar>
            <w:vAlign w:val="top"/>
          </w:tcPr>
          <w:p>
            <w:r>
              <w:rPr>
                <w:rFonts w:ascii="Arial" w:cs="Arial" w:eastAsia="Arial" w:hAnsi="Arial"/>
                <w:b/>
                <w:bCs/>
                <w:color w:val="1D4ED8"/>
                <w:sz w:val="19"/>
                <w:szCs w:val="19"/>
              </w:rPr>
              <w:t xml:space="preserve">Nanomaterials &amp; Lab</w:t>
            </w:r>
          </w:p>
        </w:tc>
        <w:tc>
          <w:tcPr>
            <w:tcW w:type="dxa" w:w="7736"/>
            <w:tcBorders>
              <w:top w:val="none" w:color="FFFFFF" w:sz="0"/>
              <w:left w:val="none" w:color="FFFFFF" w:sz="0"/>
              <w:bottom w:val="none" w:color="FFFFFF" w:sz="0"/>
              <w:right w:val="none" w:color="FFFFFF" w:sz="0"/>
            </w:tcBorders>
            <w:shd w:fill="F8FAFC" w:val="clear"/>
            <w:tcMar>
              <w:top w:type="dxa" w:w="80"/>
              <w:left w:type="dxa" w:w="100"/>
              <w:bottom w:type="dxa" w:w="80"/>
              <w:right w:type="dxa" w:w="80"/>
            </w:tcMar>
            <w:vAlign w:val="top"/>
          </w:tcPr>
          <w:p>
            <w:r>
              <w:rPr>
                <w:rFonts w:ascii="Arial" w:cs="Arial" w:eastAsia="Arial" w:hAnsi="Arial"/>
                <w:color w:val="1E293B"/>
                <w:sz w:val="19"/>
                <w:szCs w:val="19"/>
              </w:rPr>
              <w:t xml:space="preserve">Iron oxide NPs, MOFs, quantum dots, polymeric nanocarriers; TEM, FTIR, XRD, DLS, zeta potential, confocal imaging, magnetometry</w:t>
            </w:r>
          </w:p>
        </w:tc>
      </w:tr>
      <w:tr>
        <w:tc>
          <w:tcPr>
            <w:tcW w:type="dxa" w:w="2200"/>
            <w:tcBorders>
              <w:top w:val="none" w:color="FFFFFF" w:sz="0"/>
              <w:left w:val="none" w:color="FFFFFF" w:sz="0"/>
              <w:bottom w:val="none" w:color="FFFFFF" w:sz="0"/>
              <w:right w:val="none" w:color="FFFFFF" w:sz="0"/>
            </w:tcBorders>
            <w:shd w:fill="FFFFFF" w:val="clear"/>
            <w:tcMar>
              <w:top w:type="dxa" w:w="80"/>
              <w:left w:type="dxa" w:w="100"/>
              <w:bottom w:type="dxa" w:w="80"/>
              <w:right w:type="dxa" w:w="80"/>
            </w:tcMar>
            <w:vAlign w:val="top"/>
          </w:tcPr>
          <w:p>
            <w:r>
              <w:rPr>
                <w:rFonts w:ascii="Arial" w:cs="Arial" w:eastAsia="Arial" w:hAnsi="Arial"/>
                <w:b/>
                <w:bCs/>
                <w:color w:val="1D4ED8"/>
                <w:sz w:val="19"/>
                <w:szCs w:val="19"/>
              </w:rPr>
              <w:t xml:space="preserve">Languages</w:t>
            </w:r>
          </w:p>
        </w:tc>
        <w:tc>
          <w:tcPr>
            <w:tcW w:type="dxa" w:w="7736"/>
            <w:tcBorders>
              <w:top w:val="none" w:color="FFFFFF" w:sz="0"/>
              <w:left w:val="none" w:color="FFFFFF" w:sz="0"/>
              <w:bottom w:val="none" w:color="FFFFFF" w:sz="0"/>
              <w:right w:val="none" w:color="FFFFFF" w:sz="0"/>
            </w:tcBorders>
            <w:shd w:fill="FFFFFF" w:val="clear"/>
            <w:tcMar>
              <w:top w:type="dxa" w:w="80"/>
              <w:left w:type="dxa" w:w="100"/>
              <w:bottom w:type="dxa" w:w="80"/>
              <w:right w:type="dxa" w:w="80"/>
            </w:tcMar>
            <w:vAlign w:val="top"/>
          </w:tcPr>
          <w:p>
            <w:r>
              <w:rPr>
                <w:rFonts w:ascii="Arial" w:cs="Arial" w:eastAsia="Arial" w:hAnsi="Arial"/>
                <w:color w:val="1E293B"/>
                <w:sz w:val="19"/>
                <w:szCs w:val="19"/>
              </w:rPr>
              <w:t xml:space="preserve">Spanish (native), English (professional proficiency)</w:t>
            </w:r>
          </w:p>
        </w:tc>
      </w:tr>
    </w:tbl>
    <w:p>
      <w:pPr>
        <w:spacing w:after="0" w:before="60"/>
      </w:pPr>
    </w:p>
    <w:p>
      <w:pPr>
        <w:spacing w:after="60" w:before="280"/>
      </w:pPr>
      <w:r>
        <w:rPr>
          <w:rFonts w:ascii="Arial" w:cs="Arial" w:eastAsia="Arial" w:hAnsi="Arial"/>
          <w:b/>
          <w:bCs/>
          <w:color w:val="1D4ED8"/>
          <w:spacing w:val="40"/>
          <w:sz w:val="22"/>
          <w:szCs w:val="22"/>
        </w:rPr>
        <w:t xml:space="preserve">EXPERIENCE</w:t>
      </w:r>
    </w:p>
    <w:p>
      <w:pPr>
        <w:pBdr>
          <w:bottom w:val="single" w:color="1D4ED8" w:sz="6"/>
        </w:pBdr>
        <w:spacing w:after="140" w:before="0"/>
      </w:pPr>
    </w:p>
    <w:p>
      <w:pPr>
        <w:tabs>
          <w:tab w:val="right" w:pos="9936"/>
        </w:tabs>
        <w:spacing w:after="40" w:before="160"/>
      </w:pPr>
      <w:r>
        <w:rPr>
          <w:rFonts w:ascii="Arial" w:cs="Arial" w:eastAsia="Arial" w:hAnsi="Arial"/>
          <w:b/>
          <w:bCs/>
          <w:color w:val="1E293B"/>
          <w:sz w:val="24"/>
          <w:szCs w:val="24"/>
        </w:rPr>
        <w:t xml:space="preserve">Instructor Professor</w:t>
      </w:r>
      <w:r>
        <w:rPr>
          <w:rFonts w:ascii="Arial" w:cs="Arial" w:eastAsia="Arial" w:hAnsi="Arial"/>
          <w:color w:val="64748B"/>
          <w:sz w:val="22"/>
          <w:szCs w:val="22"/>
        </w:rPr>
        <w:t xml:space="preserve">  ·  </w:t>
      </w:r>
      <w:r>
        <w:rPr>
          <w:rFonts w:ascii="Arial" w:cs="Arial" w:eastAsia="Arial" w:hAnsi="Arial"/>
          <w:b w:val="false"/>
          <w:bCs w:val="false"/>
          <w:color w:val="64748B"/>
          <w:sz w:val="22"/>
          <w:szCs w:val="22"/>
        </w:rPr>
        <w:t xml:space="preserve">Universidad de los Andes</w:t>
      </w:r>
      <w:r>
        <w:rPr>
          <w:rFonts w:ascii="Arial" w:cs="Arial" w:eastAsia="Arial" w:hAnsi="Arial"/>
          <w:i/>
          <w:iCs/>
          <w:color w:val="64748B"/>
          <w:sz w:val="20"/>
          <w:szCs w:val="20"/>
        </w:rPr>
        <w:t xml:space="preserve">	Apr 2025 – Present</w:t>
      </w:r>
    </w:p>
    <w:p>
      <w:pPr>
        <w:spacing w:after="100" w:before="60"/>
        <w:ind w:left="360"/>
      </w:pPr>
      <w:r>
        <w:rPr>
          <w:rFonts w:ascii="Arial" w:cs="Arial" w:eastAsia="Arial" w:hAnsi="Arial"/>
          <w:color w:val="1D4ED8"/>
          <w:sz w:val="17"/>
          <w:szCs w:val="17"/>
          <w:shd w:fill="EFF6FF" w:val="clear"/>
        </w:rPr>
        <w:t xml:space="preserve">  Biostatistics  </w:t>
      </w:r>
      <w:r>
        <w:rPr>
          <w:rFonts w:ascii="Arial" w:cs="Arial" w:eastAsia="Arial" w:hAnsi="Arial"/>
          <w:sz w:val="17"/>
          <w:szCs w:val="17"/>
        </w:rPr>
        <w:t xml:space="preserve"> </w:t>
      </w:r>
      <w:r>
        <w:rPr>
          <w:rFonts w:ascii="Arial" w:cs="Arial" w:eastAsia="Arial" w:hAnsi="Arial"/>
          <w:color w:val="1D4ED8"/>
          <w:sz w:val="17"/>
          <w:szCs w:val="17"/>
          <w:shd w:fill="EFF6FF" w:val="clear"/>
        </w:rPr>
        <w:t xml:space="preserve">  Modeling  </w:t>
      </w:r>
      <w:r>
        <w:rPr>
          <w:rFonts w:ascii="Arial" w:cs="Arial" w:eastAsia="Arial" w:hAnsi="Arial"/>
          <w:sz w:val="17"/>
          <w:szCs w:val="17"/>
        </w:rPr>
        <w:t xml:space="preserve"> </w:t>
      </w:r>
      <w:r>
        <w:rPr>
          <w:rFonts w:ascii="Arial" w:cs="Arial" w:eastAsia="Arial" w:hAnsi="Arial"/>
          <w:color w:val="1D4ED8"/>
          <w:sz w:val="17"/>
          <w:szCs w:val="17"/>
          <w:shd w:fill="EFF6FF" w:val="clear"/>
        </w:rPr>
        <w:t xml:space="preserve">  Artificial Intelligence  </w:t>
      </w:r>
      <w:r>
        <w:rPr>
          <w:rFonts w:ascii="Arial" w:cs="Arial" w:eastAsia="Arial" w:hAnsi="Arial"/>
          <w:sz w:val="17"/>
          <w:szCs w:val="17"/>
        </w:rPr>
        <w:t xml:space="preserve"> </w:t>
      </w:r>
      <w:r>
        <w:rPr>
          <w:rFonts w:ascii="Arial" w:cs="Arial" w:eastAsia="Arial" w:hAnsi="Arial"/>
          <w:color w:val="1D4ED8"/>
          <w:sz w:val="17"/>
          <w:szCs w:val="17"/>
          <w:shd w:fill="EFF6FF" w:val="clear"/>
        </w:rPr>
        <w:t xml:space="preserve">  Bionanotechnology  </w:t>
      </w:r>
      <w:r>
        <w:rPr>
          <w:rFonts w:ascii="Arial" w:cs="Arial" w:eastAsia="Arial" w:hAnsi="Arial"/>
          <w:sz w:val="17"/>
          <w:szCs w:val="17"/>
        </w:rPr>
        <w:t xml:space="preserve"> </w:t>
      </w:r>
      <w:r>
        <w:rPr>
          <w:rFonts w:ascii="Arial" w:cs="Arial" w:eastAsia="Arial" w:hAnsi="Arial"/>
          <w:color w:val="1D4ED8"/>
          <w:sz w:val="17"/>
          <w:szCs w:val="17"/>
          <w:shd w:fill="EFF6FF" w:val="clear"/>
        </w:rPr>
        <w:t xml:space="preserve">  Biomaterials  </w:t>
      </w:r>
    </w:p>
    <w:p>
      <w:pPr>
        <w:pStyle w:val="ListParagraph"/>
        <w:numPr>
          <w:ilvl w:val="0"/>
          <w:numId w:val="2"/>
        </w:numPr>
        <w:spacing w:after="40" w:before="40"/>
      </w:pPr>
      <w:r>
        <w:rPr>
          <w:rFonts w:ascii="Arial" w:cs="Arial" w:eastAsia="Arial" w:hAnsi="Arial"/>
          <w:color w:val="1E293B"/>
          <w:sz w:val="20"/>
          <w:szCs w:val="20"/>
        </w:rPr>
        <w:t xml:space="preserve">Teaching 5 graduate courses; evaluation 4.9 / 5.0 — top quartile in the Faculty of Engineering</w:t>
      </w:r>
    </w:p>
    <w:p>
      <w:pPr>
        <w:pStyle w:val="ListParagraph"/>
        <w:numPr>
          <w:ilvl w:val="0"/>
          <w:numId w:val="2"/>
        </w:numPr>
        <w:spacing w:after="40" w:before="40"/>
      </w:pPr>
      <w:r>
        <w:rPr>
          <w:rFonts w:ascii="Arial" w:cs="Arial" w:eastAsia="Arial" w:hAnsi="Arial"/>
          <w:color w:val="1E293B"/>
          <w:sz w:val="20"/>
          <w:szCs w:val="20"/>
        </w:rPr>
        <w:t xml:space="preserve">Designed AI-integrated curricula: ML for biomedical datasets (Python), GROMACS molecular dynamics, COMSOL simulations</w:t>
      </w:r>
    </w:p>
    <w:p>
      <w:pPr>
        <w:pStyle w:val="ListParagraph"/>
        <w:numPr>
          <w:ilvl w:val="0"/>
          <w:numId w:val="2"/>
        </w:numPr>
        <w:spacing w:after="40" w:before="40"/>
      </w:pPr>
      <w:r>
        <w:rPr>
          <w:rFonts w:ascii="Arial" w:cs="Arial" w:eastAsia="Arial" w:hAnsi="Arial"/>
          <w:color w:val="1E293B"/>
          <w:sz w:val="20"/>
          <w:szCs w:val="20"/>
        </w:rPr>
        <w:t xml:space="preserve">Mentoring students on generative AI applications in nanomaterial screening and bioprinting optimization</w:t>
      </w:r>
    </w:p>
    <w:p>
      <w:pPr>
        <w:pStyle w:val="ListParagraph"/>
        <w:numPr>
          <w:ilvl w:val="0"/>
          <w:numId w:val="2"/>
        </w:numPr>
        <w:spacing w:after="40" w:before="40"/>
      </w:pPr>
      <w:r>
        <w:rPr>
          <w:rFonts w:ascii="Arial" w:cs="Arial" w:eastAsia="Arial" w:hAnsi="Arial"/>
          <w:color w:val="1E293B"/>
          <w:sz w:val="20"/>
          <w:szCs w:val="20"/>
        </w:rPr>
        <w:t xml:space="preserve">9 journal publications and 3 book chapters during this appointment</w:t>
      </w:r>
    </w:p>
    <w:p>
      <w:pPr>
        <w:tabs>
          <w:tab w:val="right" w:pos="9936"/>
        </w:tabs>
        <w:spacing w:after="40" w:before="160"/>
      </w:pPr>
      <w:r>
        <w:rPr>
          <w:rFonts w:ascii="Arial" w:cs="Arial" w:eastAsia="Arial" w:hAnsi="Arial"/>
          <w:b/>
          <w:bCs/>
          <w:color w:val="1E293B"/>
          <w:sz w:val="24"/>
          <w:szCs w:val="24"/>
        </w:rPr>
        <w:t xml:space="preserve">Research Assistant</w:t>
      </w:r>
      <w:r>
        <w:rPr>
          <w:rFonts w:ascii="Arial" w:cs="Arial" w:eastAsia="Arial" w:hAnsi="Arial"/>
          <w:color w:val="64748B"/>
          <w:sz w:val="22"/>
          <w:szCs w:val="22"/>
        </w:rPr>
        <w:t xml:space="preserve">  ·  </w:t>
      </w:r>
      <w:r>
        <w:rPr>
          <w:rFonts w:ascii="Arial" w:cs="Arial" w:eastAsia="Arial" w:hAnsi="Arial"/>
          <w:b w:val="false"/>
          <w:bCs w:val="false"/>
          <w:color w:val="64748B"/>
          <w:sz w:val="22"/>
          <w:szCs w:val="22"/>
        </w:rPr>
        <w:t xml:space="preserve">Grupo de Neurociencias de Antioquia (GNA)</w:t>
      </w:r>
      <w:r>
        <w:rPr>
          <w:rFonts w:ascii="Arial" w:cs="Arial" w:eastAsia="Arial" w:hAnsi="Arial"/>
          <w:i/>
          <w:iCs/>
          <w:color w:val="64748B"/>
          <w:sz w:val="20"/>
          <w:szCs w:val="20"/>
        </w:rPr>
        <w:t xml:space="preserve">	Dec 2023 – Apr 2025</w:t>
      </w:r>
    </w:p>
    <w:p>
      <w:pPr>
        <w:spacing w:after="100" w:before="60"/>
        <w:ind w:left="360"/>
      </w:pPr>
      <w:r>
        <w:rPr>
          <w:rFonts w:ascii="Arial" w:cs="Arial" w:eastAsia="Arial" w:hAnsi="Arial"/>
          <w:color w:val="1D4ED8"/>
          <w:sz w:val="17"/>
          <w:szCs w:val="17"/>
          <w:shd w:fill="EFF6FF" w:val="clear"/>
        </w:rPr>
        <w:t xml:space="preserve">  Neural Networks  </w:t>
      </w:r>
      <w:r>
        <w:rPr>
          <w:rFonts w:ascii="Arial" w:cs="Arial" w:eastAsia="Arial" w:hAnsi="Arial"/>
          <w:sz w:val="17"/>
          <w:szCs w:val="17"/>
        </w:rPr>
        <w:t xml:space="preserve"> </w:t>
      </w:r>
      <w:r>
        <w:rPr>
          <w:rFonts w:ascii="Arial" w:cs="Arial" w:eastAsia="Arial" w:hAnsi="Arial"/>
          <w:color w:val="1D4ED8"/>
          <w:sz w:val="17"/>
          <w:szCs w:val="17"/>
          <w:shd w:fill="EFF6FF" w:val="clear"/>
        </w:rPr>
        <w:t xml:space="preserve">  Alzheimer Diagnosis  </w:t>
      </w:r>
      <w:r>
        <w:rPr>
          <w:rFonts w:ascii="Arial" w:cs="Arial" w:eastAsia="Arial" w:hAnsi="Arial"/>
          <w:sz w:val="17"/>
          <w:szCs w:val="17"/>
        </w:rPr>
        <w:t xml:space="preserve"> </w:t>
      </w:r>
      <w:r>
        <w:rPr>
          <w:rFonts w:ascii="Arial" w:cs="Arial" w:eastAsia="Arial" w:hAnsi="Arial"/>
          <w:color w:val="1D4ED8"/>
          <w:sz w:val="17"/>
          <w:szCs w:val="17"/>
          <w:shd w:fill="EFF6FF" w:val="clear"/>
        </w:rPr>
        <w:t xml:space="preserve">  Nanomaterials  </w:t>
      </w:r>
      <w:r>
        <w:rPr>
          <w:rFonts w:ascii="Arial" w:cs="Arial" w:eastAsia="Arial" w:hAnsi="Arial"/>
          <w:sz w:val="17"/>
          <w:szCs w:val="17"/>
        </w:rPr>
        <w:t xml:space="preserve"> </w:t>
      </w:r>
      <w:r>
        <w:rPr>
          <w:rFonts w:ascii="Arial" w:cs="Arial" w:eastAsia="Arial" w:hAnsi="Arial"/>
          <w:color w:val="1D4ED8"/>
          <w:sz w:val="17"/>
          <w:szCs w:val="17"/>
          <w:shd w:fill="EFF6FF" w:val="clear"/>
        </w:rPr>
        <w:t xml:space="preserve">  Microfluidics  </w:t>
      </w:r>
    </w:p>
    <w:p>
      <w:pPr>
        <w:pStyle w:val="ListParagraph"/>
        <w:numPr>
          <w:ilvl w:val="0"/>
          <w:numId w:val="2"/>
        </w:numPr>
        <w:spacing w:after="40" w:before="40"/>
      </w:pPr>
      <w:r>
        <w:rPr>
          <w:rFonts w:ascii="Arial" w:cs="Arial" w:eastAsia="Arial" w:hAnsi="Arial"/>
          <w:color w:val="1E293B"/>
          <w:sz w:val="20"/>
          <w:szCs w:val="20"/>
        </w:rPr>
        <w:t xml:space="preserve">Built a neural network predicting lipid–protein interactions for early Alzheimer's disease diagnosis</w:t>
      </w:r>
    </w:p>
    <w:p>
      <w:pPr>
        <w:pStyle w:val="ListParagraph"/>
        <w:numPr>
          <w:ilvl w:val="0"/>
          <w:numId w:val="2"/>
        </w:numPr>
        <w:spacing w:after="40" w:before="40"/>
      </w:pPr>
      <w:r>
        <w:rPr>
          <w:rFonts w:ascii="Arial" w:cs="Arial" w:eastAsia="Arial" w:hAnsi="Arial"/>
          <w:color w:val="1E293B"/>
          <w:sz w:val="20"/>
          <w:szCs w:val="20"/>
        </w:rPr>
        <w:t xml:space="preserve">Designed and fabricated lab-on-a-chip microfluidic devices (CO₂ laser-ablated PMMA) for nanoparticle detection</w:t>
      </w:r>
    </w:p>
    <w:p>
      <w:pPr>
        <w:pStyle w:val="ListParagraph"/>
        <w:numPr>
          <w:ilvl w:val="0"/>
          <w:numId w:val="2"/>
        </w:numPr>
        <w:spacing w:after="40" w:before="40"/>
      </w:pPr>
      <w:r>
        <w:rPr>
          <w:rFonts w:ascii="Arial" w:cs="Arial" w:eastAsia="Arial" w:hAnsi="Arial"/>
          <w:color w:val="1E293B"/>
          <w:sz w:val="20"/>
          <w:szCs w:val="20"/>
        </w:rPr>
        <w:t xml:space="preserve">Synthesized and characterized iron oxide NPs, MOFs, and carbon quantum dots (TEM, FTIR, XRD, DLS)</w:t>
      </w:r>
    </w:p>
    <w:p>
      <w:pPr>
        <w:pStyle w:val="ListParagraph"/>
        <w:numPr>
          <w:ilvl w:val="0"/>
          <w:numId w:val="2"/>
        </w:numPr>
        <w:spacing w:after="40" w:before="40"/>
      </w:pPr>
      <w:r>
        <w:rPr>
          <w:rFonts w:ascii="Arial" w:cs="Arial" w:eastAsia="Arial" w:hAnsi="Arial"/>
          <w:color w:val="1E293B"/>
          <w:sz w:val="20"/>
          <w:szCs w:val="20"/>
        </w:rPr>
        <w:t xml:space="preserve">Presented at PPS 2024 (Prague) and COLNE 2025 — international oral presentations</w:t>
      </w:r>
    </w:p>
    <w:p>
      <w:pPr>
        <w:tabs>
          <w:tab w:val="right" w:pos="9936"/>
        </w:tabs>
        <w:spacing w:after="40" w:before="160"/>
      </w:pPr>
      <w:r>
        <w:rPr>
          <w:rFonts w:ascii="Arial" w:cs="Arial" w:eastAsia="Arial" w:hAnsi="Arial"/>
          <w:b/>
          <w:bCs/>
          <w:color w:val="1E293B"/>
          <w:sz w:val="24"/>
          <w:szCs w:val="24"/>
        </w:rPr>
        <w:t xml:space="preserve">Administrative Assistant</w:t>
      </w:r>
      <w:r>
        <w:rPr>
          <w:rFonts w:ascii="Arial" w:cs="Arial" w:eastAsia="Arial" w:hAnsi="Arial"/>
          <w:color w:val="64748B"/>
          <w:sz w:val="22"/>
          <w:szCs w:val="22"/>
        </w:rPr>
        <w:t xml:space="preserve">  ·  </w:t>
      </w:r>
      <w:r>
        <w:rPr>
          <w:rFonts w:ascii="Arial" w:cs="Arial" w:eastAsia="Arial" w:hAnsi="Arial"/>
          <w:b w:val="false"/>
          <w:bCs w:val="false"/>
          <w:color w:val="64748B"/>
          <w:sz w:val="22"/>
          <w:szCs w:val="22"/>
        </w:rPr>
        <w:t xml:space="preserve">Universidad de los Andes</w:t>
      </w:r>
      <w:r>
        <w:rPr>
          <w:rFonts w:ascii="Arial" w:cs="Arial" w:eastAsia="Arial" w:hAnsi="Arial"/>
          <w:i/>
          <w:iCs/>
          <w:color w:val="64748B"/>
          <w:sz w:val="20"/>
          <w:szCs w:val="20"/>
        </w:rPr>
        <w:t xml:space="preserve">	2022 – 2023</w:t>
      </w:r>
    </w:p>
    <w:p>
      <w:pPr>
        <w:pStyle w:val="ListParagraph"/>
        <w:numPr>
          <w:ilvl w:val="0"/>
          <w:numId w:val="2"/>
        </w:numPr>
        <w:spacing w:after="40" w:before="40"/>
      </w:pPr>
      <w:r>
        <w:rPr>
          <w:rFonts w:ascii="Arial" w:cs="Arial" w:eastAsia="Arial" w:hAnsi="Arial"/>
          <w:color w:val="1E293B"/>
          <w:sz w:val="20"/>
          <w:szCs w:val="20"/>
        </w:rPr>
        <w:t xml:space="preserve">Led logistics of Innovation Week: 30+ academic activities, 1,000+ participants; multi-stakeholder communications</w:t>
      </w:r>
    </w:p>
    <w:p>
      <w:pPr>
        <w:spacing w:after="60" w:before="280"/>
      </w:pPr>
      <w:r>
        <w:rPr>
          <w:rFonts w:ascii="Arial" w:cs="Arial" w:eastAsia="Arial" w:hAnsi="Arial"/>
          <w:b/>
          <w:bCs/>
          <w:color w:val="1D4ED8"/>
          <w:spacing w:val="40"/>
          <w:sz w:val="22"/>
          <w:szCs w:val="22"/>
        </w:rPr>
        <w:t xml:space="preserve">EDUCATION</w:t>
      </w:r>
    </w:p>
    <w:p>
      <w:pPr>
        <w:pBdr>
          <w:bottom w:val="single" w:color="1D4ED8" w:sz="6"/>
        </w:pBdr>
        <w:spacing w:after="140" w:before="0"/>
      </w:pPr>
    </w:p>
    <w:p>
      <w:pPr>
        <w:tabs>
          <w:tab w:val="right" w:pos="9936"/>
        </w:tabs>
        <w:spacing w:after="40" w:before="160"/>
      </w:pPr>
      <w:r>
        <w:rPr>
          <w:rFonts w:ascii="Arial" w:cs="Arial" w:eastAsia="Arial" w:hAnsi="Arial"/>
          <w:b/>
          <w:bCs/>
          <w:color w:val="1E293B"/>
          <w:sz w:val="24"/>
          <w:szCs w:val="24"/>
        </w:rPr>
        <w:t xml:space="preserve">Master's in Biomedical Engineering</w:t>
      </w:r>
      <w:r>
        <w:rPr>
          <w:rFonts w:ascii="Arial" w:cs="Arial" w:eastAsia="Arial" w:hAnsi="Arial"/>
          <w:color w:val="64748B"/>
          <w:sz w:val="22"/>
          <w:szCs w:val="22"/>
        </w:rPr>
        <w:t xml:space="preserve">  ·  </w:t>
      </w:r>
      <w:r>
        <w:rPr>
          <w:rFonts w:ascii="Arial" w:cs="Arial" w:eastAsia="Arial" w:hAnsi="Arial"/>
          <w:b w:val="false"/>
          <w:bCs w:val="false"/>
          <w:color w:val="64748B"/>
          <w:sz w:val="22"/>
          <w:szCs w:val="22"/>
        </w:rPr>
        <w:t xml:space="preserve">Universidad de los Andes  ·  QS #212</w:t>
      </w:r>
      <w:r>
        <w:rPr>
          <w:rFonts w:ascii="Arial" w:cs="Arial" w:eastAsia="Arial" w:hAnsi="Arial"/>
          <w:i/>
          <w:iCs/>
          <w:color w:val="64748B"/>
          <w:sz w:val="20"/>
          <w:szCs w:val="20"/>
        </w:rPr>
        <w:t xml:space="preserve">	2022 – 2023</w:t>
      </w:r>
    </w:p>
    <w:p>
      <w:pPr>
        <w:spacing w:after="40" w:before="40"/>
        <w:ind w:left="360"/>
      </w:pPr>
      <w:r>
        <w:rPr>
          <w:rFonts w:ascii="Arial" w:cs="Arial" w:eastAsia="Arial" w:hAnsi="Arial"/>
          <w:b/>
          <w:bCs/>
          <w:color w:val="64748B"/>
          <w:sz w:val="20"/>
          <w:szCs w:val="20"/>
        </w:rPr>
        <w:t xml:space="preserve">GPA 4.8 / 5.0 — 2nd highest in cohort</w:t>
      </w:r>
    </w:p>
    <w:p>
      <w:pPr>
        <w:pStyle w:val="ListParagraph"/>
        <w:numPr>
          <w:ilvl w:val="0"/>
          <w:numId w:val="2"/>
        </w:numPr>
        <w:spacing w:after="40" w:before="40"/>
      </w:pPr>
      <w:r>
        <w:rPr>
          <w:rFonts w:ascii="Arial" w:cs="Arial" w:eastAsia="Arial" w:hAnsi="Arial"/>
          <w:color w:val="1E293B"/>
          <w:sz w:val="20"/>
          <w:szCs w:val="20"/>
        </w:rPr>
        <w:t xml:space="preserve">Thesis: state-of-the-art phase-field multiphysics model for magnetically assisted spheroid fusion in bioprinting — published in Scientific Reports (Nature Portfolio)</w:t>
      </w:r>
    </w:p>
    <w:p>
      <w:pPr>
        <w:pStyle w:val="ListParagraph"/>
        <w:numPr>
          <w:ilvl w:val="0"/>
          <w:numId w:val="2"/>
        </w:numPr>
        <w:spacing w:after="40" w:before="40"/>
      </w:pPr>
      <w:r>
        <w:rPr>
          <w:rFonts w:ascii="Arial" w:cs="Arial" w:eastAsia="Arial" w:hAnsi="Arial"/>
          <w:color w:val="1E293B"/>
          <w:sz w:val="20"/>
          <w:szCs w:val="20"/>
        </w:rPr>
        <w:t xml:space="preserve">First mathematical framework to capture cell mechanics + magnetostatics + fluid dynamics for bioprinting; reduced fusion time from ~7 days to 48 h</w:t>
      </w:r>
    </w:p>
    <w:p>
      <w:pPr>
        <w:pStyle w:val="ListParagraph"/>
        <w:numPr>
          <w:ilvl w:val="0"/>
          <w:numId w:val="2"/>
        </w:numPr>
        <w:spacing w:after="40" w:before="40"/>
      </w:pPr>
      <w:r>
        <w:rPr>
          <w:rFonts w:ascii="Arial" w:cs="Arial" w:eastAsia="Arial" w:hAnsi="Arial"/>
          <w:color w:val="1E293B"/>
          <w:sz w:val="20"/>
          <w:szCs w:val="20"/>
        </w:rPr>
        <w:t xml:space="preserve">4 peer-reviewed publications + 3 oral presentations at ACS Fall conferences</w:t>
      </w:r>
    </w:p>
    <w:p>
      <w:pPr>
        <w:spacing w:after="0" w:before="80"/>
      </w:pPr>
    </w:p>
    <w:p>
      <w:pPr>
        <w:tabs>
          <w:tab w:val="right" w:pos="9936"/>
        </w:tabs>
        <w:spacing w:after="40" w:before="160"/>
      </w:pPr>
      <w:r>
        <w:rPr>
          <w:rFonts w:ascii="Arial" w:cs="Arial" w:eastAsia="Arial" w:hAnsi="Arial"/>
          <w:b/>
          <w:bCs/>
          <w:color w:val="1E293B"/>
          <w:sz w:val="24"/>
          <w:szCs w:val="24"/>
        </w:rPr>
        <w:t xml:space="preserve">Bachelor of Biomedical Engineering</w:t>
      </w:r>
      <w:r>
        <w:rPr>
          <w:rFonts w:ascii="Arial" w:cs="Arial" w:eastAsia="Arial" w:hAnsi="Arial"/>
          <w:color w:val="64748B"/>
          <w:sz w:val="22"/>
          <w:szCs w:val="22"/>
        </w:rPr>
        <w:t xml:space="preserve">  ·  </w:t>
      </w:r>
      <w:r>
        <w:rPr>
          <w:rFonts w:ascii="Arial" w:cs="Arial" w:eastAsia="Arial" w:hAnsi="Arial"/>
          <w:b w:val="false"/>
          <w:bCs w:val="false"/>
          <w:color w:val="64748B"/>
          <w:sz w:val="22"/>
          <w:szCs w:val="22"/>
        </w:rPr>
        <w:t xml:space="preserve">Universidad de los Andes  ·  QS #212</w:t>
      </w:r>
      <w:r>
        <w:rPr>
          <w:rFonts w:ascii="Arial" w:cs="Arial" w:eastAsia="Arial" w:hAnsi="Arial"/>
          <w:i/>
          <w:iCs/>
          <w:color w:val="64748B"/>
          <w:sz w:val="20"/>
          <w:szCs w:val="20"/>
        </w:rPr>
        <w:t xml:space="preserve">	2018 – 2021</w:t>
      </w:r>
    </w:p>
    <w:p>
      <w:pPr>
        <w:spacing w:after="40" w:before="40"/>
        <w:ind w:left="360"/>
      </w:pPr>
      <w:r>
        <w:rPr>
          <w:rFonts w:ascii="Arial" w:cs="Arial" w:eastAsia="Arial" w:hAnsi="Arial"/>
          <w:b/>
          <w:bCs/>
          <w:color w:val="64748B"/>
          <w:sz w:val="20"/>
          <w:szCs w:val="20"/>
        </w:rPr>
        <w:t xml:space="preserve">National Government Scholarship (Ser Pilo Paga) — full tuition · top national university entrance exam scorer</w:t>
      </w:r>
    </w:p>
    <w:p>
      <w:pPr>
        <w:pStyle w:val="ListParagraph"/>
        <w:numPr>
          <w:ilvl w:val="0"/>
          <w:numId w:val="2"/>
        </w:numPr>
        <w:spacing w:after="40" w:before="40"/>
      </w:pPr>
      <w:r>
        <w:rPr>
          <w:rFonts w:ascii="Arial" w:cs="Arial" w:eastAsia="Arial" w:hAnsi="Arial"/>
          <w:color w:val="1E293B"/>
          <w:sz w:val="20"/>
          <w:szCs w:val="20"/>
        </w:rPr>
        <w:t xml:space="preserve">Undergraduate research: viscoelastic mathematical model of spheroid fusion — published at IEEE</w:t>
      </w:r>
    </w:p>
    <w:p>
      <w:pPr>
        <w:pStyle w:val="ListParagraph"/>
        <w:numPr>
          <w:ilvl w:val="0"/>
          <w:numId w:val="2"/>
        </w:numPr>
        <w:spacing w:after="40" w:before="40"/>
      </w:pPr>
      <w:r>
        <w:rPr>
          <w:rFonts w:ascii="Arial" w:cs="Arial" w:eastAsia="Arial" w:hAnsi="Arial"/>
          <w:color w:val="1E293B"/>
          <w:sz w:val="20"/>
          <w:szCs w:val="20"/>
        </w:rPr>
        <w:t xml:space="preserve">Teaching Assistant for Nanobiotechnology in Medical Sciences</w:t>
      </w:r>
    </w:p>
    <w:p>
      <w:pPr>
        <w:spacing w:after="60" w:before="280"/>
      </w:pPr>
      <w:r>
        <w:rPr>
          <w:rFonts w:ascii="Arial" w:cs="Arial" w:eastAsia="Arial" w:hAnsi="Arial"/>
          <w:b/>
          <w:bCs/>
          <w:color w:val="1D4ED8"/>
          <w:spacing w:val="40"/>
          <w:sz w:val="22"/>
          <w:szCs w:val="22"/>
        </w:rPr>
        <w:t xml:space="preserve">SELECTED PUBLICATIONS</w:t>
      </w:r>
    </w:p>
    <w:p>
      <w:pPr>
        <w:pBdr>
          <w:bottom w:val="single" w:color="1D4ED8" w:sz="6"/>
        </w:pBdr>
        <w:spacing w:after="140" w:before="0"/>
      </w:pPr>
    </w:p>
    <w:p>
      <w:pPr>
        <w:spacing w:after="80" w:before="0"/>
        <w:ind w:left="360"/>
      </w:pPr>
      <w:r>
        <w:rPr>
          <w:rFonts w:ascii="Arial" w:cs="Arial" w:eastAsia="Arial" w:hAnsi="Arial"/>
          <w:color w:val="64748B"/>
          <w:sz w:val="19"/>
          <w:szCs w:val="19"/>
        </w:rPr>
        <w:t xml:space="preserve">Full list: </w:t>
      </w:r>
      <w:hyperlink w:history="1" r:id="rIdzxsywwcf7btup95bdpqo5">
        <w:r>
          <w:rPr>
            <w:rFonts w:ascii="Arial" w:cs="Arial" w:eastAsia="Arial" w:hAnsi="Arial"/>
            <w:color w:val="1D4ED8"/>
            <w:sz w:val="19"/>
            <w:szCs w:val="19"/>
            <w:u w:val="single"/>
          </w:rPr>
          <w:t xml:space="preserve">Google Scholar profile</w:t>
        </w:r>
      </w:hyperlink>
      <w:r>
        <w:rPr>
          <w:rFonts w:ascii="Arial" w:cs="Arial" w:eastAsia="Arial" w:hAnsi="Arial"/>
          <w:color w:val="64748B"/>
          <w:sz w:val="19"/>
          <w:szCs w:val="19"/>
        </w:rPr>
        <w:t xml:space="preserve">  |  h-index: 9  |  207 citations  |  i10-index: 8</w:t>
      </w:r>
    </w:p>
    <w:p>
      <w:pPr>
        <w:pStyle w:val="ListParagraph"/>
        <w:numPr>
          <w:ilvl w:val="0"/>
          <w:numId w:val="2"/>
        </w:numPr>
        <w:spacing w:after="60" w:before="60"/>
      </w:pPr>
      <w:r>
        <w:rPr>
          <w:rFonts w:ascii="Arial" w:cs="Arial" w:eastAsia="Arial" w:hAnsi="Arial"/>
          <w:color w:val="1E293B"/>
          <w:sz w:val="19"/>
          <w:szCs w:val="19"/>
        </w:rPr>
        <w:t xml:space="preserve">1. Rodríguez et al. (2025). A mathematical phase-field model predicts superparamagnetic nanoparticle-accelerated fusion of HeLa spheroids for field-guided biofabrication. </w:t>
      </w:r>
      <w:hyperlink w:history="1" r:id="rIddejikarlg38nusqlxl-8z">
        <w:r>
          <w:rPr>
            <w:rFonts w:ascii="Arial" w:cs="Arial" w:eastAsia="Arial" w:hAnsi="Arial"/>
            <w:i/>
            <w:iCs/>
            <w:color w:val="1D4ED8"/>
            <w:sz w:val="19"/>
            <w:szCs w:val="19"/>
            <w:u w:val="single"/>
          </w:rPr>
          <w:t xml:space="preserve">Scientific Reports, 15(1), 19765 (Nature)</w:t>
        </w:r>
      </w:hyperlink>
    </w:p>
    <w:p>
      <w:pPr>
        <w:pStyle w:val="ListParagraph"/>
        <w:numPr>
          <w:ilvl w:val="0"/>
          <w:numId w:val="2"/>
        </w:numPr>
        <w:spacing w:after="60" w:before="60"/>
      </w:pPr>
      <w:r>
        <w:rPr>
          <w:rFonts w:ascii="Arial" w:cs="Arial" w:eastAsia="Arial" w:hAnsi="Arial"/>
          <w:color w:val="1E293B"/>
          <w:sz w:val="19"/>
          <w:szCs w:val="19"/>
        </w:rPr>
        <w:t xml:space="preserve">2. Rodríguez et al. (2025). Magnetoliposomes for nanomedicine: synthesis, characterization, and applications in drug, gene, and peptide delivery. </w:t>
      </w:r>
      <w:hyperlink w:history="1" r:id="rIdyl6e82u5pefblmjlvyjwb">
        <w:r>
          <w:rPr>
            <w:rFonts w:ascii="Arial" w:cs="Arial" w:eastAsia="Arial" w:hAnsi="Arial"/>
            <w:i/>
            <w:iCs/>
            <w:color w:val="1D4ED8"/>
            <w:sz w:val="19"/>
            <w:szCs w:val="19"/>
            <w:u w:val="single"/>
          </w:rPr>
          <w:t xml:space="preserve">Expert Opinion on Drug Delivery (Taylor &amp; Francis)</w:t>
        </w:r>
      </w:hyperlink>
    </w:p>
    <w:p>
      <w:pPr>
        <w:pStyle w:val="ListParagraph"/>
        <w:numPr>
          <w:ilvl w:val="0"/>
          <w:numId w:val="2"/>
        </w:numPr>
        <w:spacing w:after="60" w:before="60"/>
      </w:pPr>
      <w:r>
        <w:rPr>
          <w:rFonts w:ascii="Arial" w:cs="Arial" w:eastAsia="Arial" w:hAnsi="Arial"/>
          <w:color w:val="1E293B"/>
          <w:sz w:val="19"/>
          <w:szCs w:val="19"/>
        </w:rPr>
        <w:t xml:space="preserve">3. Rodríguez et al. (2025). Nanotheranostics revolutionizing gene therapy: emerging applications in gene delivery enhancement. </w:t>
      </w:r>
      <w:hyperlink w:history="1" r:id="rIdlocji2mnveh0wyk3eg-ns">
        <w:r>
          <w:rPr>
            <w:rFonts w:ascii="Arial" w:cs="Arial" w:eastAsia="Arial" w:hAnsi="Arial"/>
            <w:i/>
            <w:iCs/>
            <w:color w:val="1D4ED8"/>
            <w:sz w:val="19"/>
            <w:szCs w:val="19"/>
            <w:u w:val="single"/>
          </w:rPr>
          <w:t xml:space="preserve">Journal of Nanotheranostics, 6(2), 10 (MDPI)</w:t>
        </w:r>
      </w:hyperlink>
    </w:p>
    <w:p>
      <w:pPr>
        <w:pStyle w:val="ListParagraph"/>
        <w:numPr>
          <w:ilvl w:val="0"/>
          <w:numId w:val="2"/>
        </w:numPr>
        <w:spacing w:after="60" w:before="60"/>
      </w:pPr>
      <w:r>
        <w:rPr>
          <w:rFonts w:ascii="Arial" w:cs="Arial" w:eastAsia="Arial" w:hAnsi="Arial"/>
          <w:color w:val="1E293B"/>
          <w:sz w:val="19"/>
          <w:szCs w:val="19"/>
        </w:rPr>
        <w:t xml:space="preserve">4. Rodríguez et al. (2024). Zweifach–Fung microfluidic device for efficient microparticle separation: CO₂ laser-ablated PMMA. </w:t>
      </w:r>
      <w:hyperlink w:history="1" r:id="rId5lcztleygxnp93v4l_us_">
        <w:r>
          <w:rPr>
            <w:rFonts w:ascii="Arial" w:cs="Arial" w:eastAsia="Arial" w:hAnsi="Arial"/>
            <w:i/>
            <w:iCs/>
            <w:color w:val="1D4ED8"/>
            <w:sz w:val="19"/>
            <w:szCs w:val="19"/>
            <w:u w:val="single"/>
          </w:rPr>
          <w:t xml:space="preserve">Micromachines (MDPI)</w:t>
        </w:r>
      </w:hyperlink>
    </w:p>
    <w:p>
      <w:pPr>
        <w:pStyle w:val="ListParagraph"/>
        <w:numPr>
          <w:ilvl w:val="0"/>
          <w:numId w:val="2"/>
        </w:numPr>
        <w:spacing w:after="60" w:before="60"/>
      </w:pPr>
      <w:r>
        <w:rPr>
          <w:rFonts w:ascii="Arial" w:cs="Arial" w:eastAsia="Arial" w:hAnsi="Arial"/>
          <w:color w:val="1E293B"/>
          <w:sz w:val="19"/>
          <w:szCs w:val="19"/>
        </w:rPr>
        <w:t xml:space="preserve">5. Rodríguez et al. (2024). Magnetic-field-enhanced microfluidic separation for biosensing applications. </w:t>
      </w:r>
      <w:hyperlink w:history="1" r:id="rId3jmmekgabz1-vesvolodw">
        <w:r>
          <w:rPr>
            <w:rFonts w:ascii="Arial" w:cs="Arial" w:eastAsia="Arial" w:hAnsi="Arial"/>
            <w:i/>
            <w:iCs/>
            <w:color w:val="1D4ED8"/>
            <w:sz w:val="19"/>
            <w:szCs w:val="19"/>
            <w:u w:val="single"/>
          </w:rPr>
          <w:t xml:space="preserve">Micromachines (MDPI)</w:t>
        </w:r>
      </w:hyperlink>
    </w:p>
    <w:p>
      <w:pPr>
        <w:pStyle w:val="ListParagraph"/>
        <w:numPr>
          <w:ilvl w:val="0"/>
          <w:numId w:val="2"/>
        </w:numPr>
        <w:spacing w:after="60" w:before="60"/>
      </w:pPr>
      <w:r>
        <w:rPr>
          <w:rFonts w:ascii="Arial" w:cs="Arial" w:eastAsia="Arial" w:hAnsi="Arial"/>
          <w:color w:val="1E293B"/>
          <w:sz w:val="19"/>
          <w:szCs w:val="19"/>
        </w:rPr>
        <w:t xml:space="preserve">6. Rodríguez et al. (2024). Redefining vascular repair: PEUU–gelatin electrospun vascular grafts for endothelialization. </w:t>
      </w:r>
      <w:hyperlink w:history="1" r:id="rId3mubfvdjwher-datax_ey">
        <w:r>
          <w:rPr>
            <w:rFonts w:ascii="Arial" w:cs="Arial" w:eastAsia="Arial" w:hAnsi="Arial"/>
            <w:i/>
            <w:iCs/>
            <w:color w:val="1D4ED8"/>
            <w:sz w:val="19"/>
            <w:szCs w:val="19"/>
            <w:u w:val="single"/>
          </w:rPr>
          <w:t xml:space="preserve">Frontiers in Bioengineering and Biotechnology</w:t>
        </w:r>
      </w:hyperlink>
    </w:p>
    <w:p>
      <w:pPr>
        <w:spacing w:after="60" w:before="280"/>
      </w:pPr>
      <w:r>
        <w:rPr>
          <w:rFonts w:ascii="Arial" w:cs="Arial" w:eastAsia="Arial" w:hAnsi="Arial"/>
          <w:b/>
          <w:bCs/>
          <w:color w:val="1D4ED8"/>
          <w:spacing w:val="40"/>
          <w:sz w:val="22"/>
          <w:szCs w:val="22"/>
        </w:rPr>
        <w:t xml:space="preserve">BOOK CHAPTERS</w:t>
      </w:r>
    </w:p>
    <w:p>
      <w:pPr>
        <w:pBdr>
          <w:bottom w:val="single" w:color="1D4ED8" w:sz="6"/>
        </w:pBdr>
        <w:spacing w:after="140" w:before="0"/>
      </w:pPr>
    </w:p>
    <w:p>
      <w:pPr>
        <w:pStyle w:val="ListParagraph"/>
        <w:numPr>
          <w:ilvl w:val="0"/>
          <w:numId w:val="2"/>
        </w:numPr>
        <w:spacing w:after="60" w:before="60"/>
      </w:pPr>
      <w:r>
        <w:rPr>
          <w:rFonts w:ascii="Arial" w:cs="Arial" w:eastAsia="Arial" w:hAnsi="Arial"/>
          <w:color w:val="1E293B"/>
          <w:sz w:val="19"/>
          <w:szCs w:val="19"/>
        </w:rPr>
        <w:t xml:space="preserve">Rodríguez et al. (2025). Classical and Emerging Approximations for the Screening of Antimicrobial Peptide Libraries. </w:t>
      </w:r>
      <w:hyperlink w:history="1" r:id="rIdqjx8yvyo-xfv7z1x7yity">
        <w:r>
          <w:rPr>
            <w:rFonts w:ascii="Arial" w:cs="Arial" w:eastAsia="Arial" w:hAnsi="Arial"/>
            <w:i/>
            <w:iCs/>
            <w:color w:val="1D4ED8"/>
            <w:sz w:val="19"/>
            <w:szCs w:val="19"/>
            <w:u w:val="single"/>
          </w:rPr>
          <w:t xml:space="preserve">Antimicrobial Peptides, Elsevier, pp. 195–232</w:t>
        </w:r>
      </w:hyperlink>
    </w:p>
    <w:p>
      <w:pPr>
        <w:pStyle w:val="ListParagraph"/>
        <w:numPr>
          <w:ilvl w:val="0"/>
          <w:numId w:val="2"/>
        </w:numPr>
        <w:spacing w:after="60" w:before="60"/>
      </w:pPr>
      <w:r>
        <w:rPr>
          <w:rFonts w:ascii="Arial" w:cs="Arial" w:eastAsia="Arial" w:hAnsi="Arial"/>
          <w:color w:val="1E293B"/>
          <w:sz w:val="19"/>
          <w:szCs w:val="19"/>
        </w:rPr>
        <w:t xml:space="preserve">Rodríguez et al. (2025). Carbon-Based Nanocarriers: Carbon Nanotubes, Graphene Oxide, Fullerenes, and Carbon Dots. </w:t>
      </w:r>
      <w:hyperlink w:history="1" r:id="rIdcfsomzy1bhpc97cfppj88">
        <w:r>
          <w:rPr>
            <w:rFonts w:ascii="Arial" w:cs="Arial" w:eastAsia="Arial" w:hAnsi="Arial"/>
            <w:i/>
            <w:iCs/>
            <w:color w:val="1D4ED8"/>
            <w:sz w:val="19"/>
            <w:szCs w:val="19"/>
            <w:u w:val="single"/>
          </w:rPr>
          <w:t xml:space="preserve">Nanocarriers for Nucleic Acids and Proteins, CRC Press, pp. 141–188</w:t>
        </w:r>
      </w:hyperlink>
    </w:p>
    <w:p>
      <w:pPr>
        <w:pStyle w:val="ListParagraph"/>
        <w:numPr>
          <w:ilvl w:val="0"/>
          <w:numId w:val="2"/>
        </w:numPr>
        <w:spacing w:after="60" w:before="60"/>
      </w:pPr>
      <w:r>
        <w:rPr>
          <w:rFonts w:ascii="Arial" w:cs="Arial" w:eastAsia="Arial" w:hAnsi="Arial"/>
          <w:color w:val="1E293B"/>
          <w:sz w:val="19"/>
          <w:szCs w:val="19"/>
        </w:rPr>
        <w:t xml:space="preserve">Guzmán-Sastoque, Monsalve, Rodríguez et al. (2025). Delivery of Nucleic Acids Using Nanocarriers: siRNA and miRNA Delivery, mRNA and DNA Delivery, CRISPR-Cas Systems. </w:t>
      </w:r>
      <w:hyperlink w:history="1" r:id="rIdb-0oibarfuhxnijap1rrs">
        <w:r>
          <w:rPr>
            <w:rFonts w:ascii="Arial" w:cs="Arial" w:eastAsia="Arial" w:hAnsi="Arial"/>
            <w:i/>
            <w:iCs/>
            <w:color w:val="1D4ED8"/>
            <w:sz w:val="19"/>
            <w:szCs w:val="19"/>
            <w:u w:val="single"/>
          </w:rPr>
          <w:t xml:space="preserve">Nanocarriers for Nucleic Acids and Proteins, CRC Press, pp. 248–291</w:t>
        </w:r>
      </w:hyperlink>
    </w:p>
    <w:p>
      <w:pPr>
        <w:spacing w:after="60" w:before="280"/>
      </w:pPr>
      <w:r>
        <w:rPr>
          <w:rFonts w:ascii="Arial" w:cs="Arial" w:eastAsia="Arial" w:hAnsi="Arial"/>
          <w:b/>
          <w:bCs/>
          <w:color w:val="1D4ED8"/>
          <w:spacing w:val="40"/>
          <w:sz w:val="22"/>
          <w:szCs w:val="22"/>
        </w:rPr>
        <w:t xml:space="preserve">COURSES TAUGHT  ·  UNIVERSIDAD DE LOS ANDES (2025)</w:t>
      </w:r>
    </w:p>
    <w:p>
      <w:pPr>
        <w:pBdr>
          <w:bottom w:val="single" w:color="1D4ED8" w:sz="6"/>
        </w:pBdr>
        <w:spacing w:after="140" w:before="0"/>
      </w:pPr>
    </w:p>
    <w:tbl>
      <w:tblPr>
        <w:tblW w:type="dxa" w:w="9936"/>
        <w:tblBorders>
          <w:top w:val="none" w:color="FFFFFF" w:sz="0"/>
          <w:left w:val="none" w:color="FFFFFF" w:sz="0"/>
          <w:bottom w:val="none" w:color="FFFFFF" w:sz="0"/>
          <w:right w:val="none" w:color="FFFFFF" w:sz="0"/>
          <w:insideH w:val="single" w:color="auto" w:sz="4"/>
          <w:insideV w:val="single" w:color="auto" w:sz="4"/>
        </w:tblBorders>
      </w:tblPr>
      <w:tblGrid>
        <w:gridCol w:w="4500"/>
        <w:gridCol w:w="5436"/>
      </w:tblGrid>
      <w:tr>
        <w:tc>
          <w:tcPr>
            <w:tcW w:type="dxa" w:w="4500"/>
            <w:tcBorders>
              <w:top w:val="none" w:color="FFFFFF" w:sz="0"/>
              <w:left w:val="none" w:color="FFFFFF" w:sz="0"/>
              <w:bottom w:val="none" w:color="FFFFFF" w:sz="0"/>
              <w:right w:val="none" w:color="FFFFFF" w:sz="0"/>
            </w:tcBorders>
            <w:shd w:fill="F8FAFC" w:val="clear"/>
            <w:tcMar>
              <w:top w:type="dxa" w:w="80"/>
              <w:left w:type="dxa" w:w="100"/>
              <w:bottom w:type="dxa" w:w="80"/>
              <w:right w:type="dxa" w:w="80"/>
            </w:tcMar>
          </w:tcPr>
          <w:p>
            <w:r>
              <w:rPr>
                <w:rFonts w:ascii="Arial" w:cs="Arial" w:eastAsia="Arial" w:hAnsi="Arial"/>
                <w:b/>
                <w:bCs/>
                <w:color w:val="1E293B"/>
                <w:sz w:val="19"/>
                <w:szCs w:val="19"/>
              </w:rPr>
              <w:t xml:space="preserve">Biostatistics &amp; Design of Experiments</w:t>
            </w:r>
          </w:p>
        </w:tc>
        <w:tc>
          <w:tcPr>
            <w:tcW w:type="dxa" w:w="5436"/>
            <w:tcBorders>
              <w:top w:val="none" w:color="FFFFFF" w:sz="0"/>
              <w:left w:val="none" w:color="FFFFFF" w:sz="0"/>
              <w:bottom w:val="none" w:color="FFFFFF" w:sz="0"/>
              <w:right w:val="none" w:color="FFFFFF" w:sz="0"/>
            </w:tcBorders>
            <w:shd w:fill="F8FAFC" w:val="clear"/>
            <w:tcMar>
              <w:top w:type="dxa" w:w="80"/>
              <w:left w:type="dxa" w:w="100"/>
              <w:bottom w:type="dxa" w:w="80"/>
              <w:right w:type="dxa" w:w="80"/>
            </w:tcMar>
          </w:tcPr>
          <w:p>
            <w:r>
              <w:rPr>
                <w:rFonts w:ascii="Arial" w:cs="Arial" w:eastAsia="Arial" w:hAnsi="Arial"/>
                <w:color w:val="64748B"/>
                <w:sz w:val="19"/>
                <w:szCs w:val="19"/>
              </w:rPr>
              <w:t xml:space="preserve">Probability, statistical inference, ML for biomedical datasets · Python</w:t>
            </w:r>
          </w:p>
        </w:tc>
      </w:tr>
      <w:tr>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80"/>
            </w:tcMar>
          </w:tcPr>
          <w:p>
            <w:r>
              <w:rPr>
                <w:rFonts w:ascii="Arial" w:cs="Arial" w:eastAsia="Arial" w:hAnsi="Arial"/>
                <w:b/>
                <w:bCs/>
                <w:color w:val="1E293B"/>
                <w:sz w:val="19"/>
                <w:szCs w:val="19"/>
              </w:rPr>
              <w:t xml:space="preserve">Nanobiotechnology</w:t>
            </w:r>
          </w:p>
        </w:tc>
        <w:tc>
          <w:tcPr>
            <w:tcW w:type="dxa" w:w="5436"/>
            <w:tcBorders>
              <w:top w:val="none" w:color="FFFFFF" w:sz="0"/>
              <w:left w:val="none" w:color="FFFFFF" w:sz="0"/>
              <w:bottom w:val="none" w:color="FFFFFF" w:sz="0"/>
              <w:right w:val="none" w:color="FFFFFF" w:sz="0"/>
            </w:tcBorders>
            <w:shd w:fill="FFFFFF" w:val="clear"/>
            <w:tcMar>
              <w:top w:type="dxa" w:w="80"/>
              <w:left w:type="dxa" w:w="100"/>
              <w:bottom w:type="dxa" w:w="80"/>
              <w:right w:type="dxa" w:w="80"/>
            </w:tcMar>
          </w:tcPr>
          <w:p>
            <w:r>
              <w:rPr>
                <w:rFonts w:ascii="Arial" w:cs="Arial" w:eastAsia="Arial" w:hAnsi="Arial"/>
                <w:color w:val="64748B"/>
                <w:sz w:val="19"/>
                <w:szCs w:val="19"/>
              </w:rPr>
              <w:t xml:space="preserve">Quantum dots, metallic NPs, liposomes, MOFs · GROMACS molecular dynamics · AI analysis</w:t>
            </w:r>
          </w:p>
        </w:tc>
      </w:tr>
      <w:tr>
        <w:tc>
          <w:tcPr>
            <w:tcW w:type="dxa" w:w="4500"/>
            <w:tcBorders>
              <w:top w:val="none" w:color="FFFFFF" w:sz="0"/>
              <w:left w:val="none" w:color="FFFFFF" w:sz="0"/>
              <w:bottom w:val="none" w:color="FFFFFF" w:sz="0"/>
              <w:right w:val="none" w:color="FFFFFF" w:sz="0"/>
            </w:tcBorders>
            <w:shd w:fill="F8FAFC" w:val="clear"/>
            <w:tcMar>
              <w:top w:type="dxa" w:w="80"/>
              <w:left w:type="dxa" w:w="100"/>
              <w:bottom w:type="dxa" w:w="80"/>
              <w:right w:type="dxa" w:w="80"/>
            </w:tcMar>
          </w:tcPr>
          <w:p>
            <w:r>
              <w:rPr>
                <w:rFonts w:ascii="Arial" w:cs="Arial" w:eastAsia="Arial" w:hAnsi="Arial"/>
                <w:b/>
                <w:bCs/>
                <w:color w:val="1E293B"/>
                <w:sz w:val="19"/>
                <w:szCs w:val="19"/>
              </w:rPr>
              <w:t xml:space="preserve">Nanoengineering</w:t>
            </w:r>
          </w:p>
        </w:tc>
        <w:tc>
          <w:tcPr>
            <w:tcW w:type="dxa" w:w="5436"/>
            <w:tcBorders>
              <w:top w:val="none" w:color="FFFFFF" w:sz="0"/>
              <w:left w:val="none" w:color="FFFFFF" w:sz="0"/>
              <w:bottom w:val="none" w:color="FFFFFF" w:sz="0"/>
              <w:right w:val="none" w:color="FFFFFF" w:sz="0"/>
            </w:tcBorders>
            <w:shd w:fill="F8FAFC" w:val="clear"/>
            <w:tcMar>
              <w:top w:type="dxa" w:w="80"/>
              <w:left w:type="dxa" w:w="100"/>
              <w:bottom w:type="dxa" w:w="80"/>
              <w:right w:type="dxa" w:w="80"/>
            </w:tcMar>
          </w:tcPr>
          <w:p>
            <w:r>
              <w:rPr>
                <w:rFonts w:ascii="Arial" w:cs="Arial" w:eastAsia="Arial" w:hAnsi="Arial"/>
                <w:color w:val="64748B"/>
                <w:sz w:val="19"/>
                <w:szCs w:val="19"/>
              </w:rPr>
              <w:t xml:space="preserve">COMSOL multiphysics, microfluidic device design · in-silico + experimental</w:t>
            </w:r>
          </w:p>
        </w:tc>
      </w:tr>
      <w:tr>
        <w:tc>
          <w:tcPr>
            <w:tcW w:type="dxa" w:w="4500"/>
            <w:tcBorders>
              <w:top w:val="none" w:color="FFFFFF" w:sz="0"/>
              <w:left w:val="none" w:color="FFFFFF" w:sz="0"/>
              <w:bottom w:val="none" w:color="FFFFFF" w:sz="0"/>
              <w:right w:val="none" w:color="FFFFFF" w:sz="0"/>
            </w:tcBorders>
            <w:shd w:fill="FFFFFF" w:val="clear"/>
            <w:tcMar>
              <w:top w:type="dxa" w:w="80"/>
              <w:left w:type="dxa" w:w="100"/>
              <w:bottom w:type="dxa" w:w="80"/>
              <w:right w:type="dxa" w:w="80"/>
            </w:tcMar>
          </w:tcPr>
          <w:p>
            <w:r>
              <w:rPr>
                <w:rFonts w:ascii="Arial" w:cs="Arial" w:eastAsia="Arial" w:hAnsi="Arial"/>
                <w:b/>
                <w:bCs/>
                <w:color w:val="1E293B"/>
                <w:sz w:val="19"/>
                <w:szCs w:val="19"/>
              </w:rPr>
              <w:t xml:space="preserve">Biomaterials</w:t>
            </w:r>
          </w:p>
        </w:tc>
        <w:tc>
          <w:tcPr>
            <w:tcW w:type="dxa" w:w="5436"/>
            <w:tcBorders>
              <w:top w:val="none" w:color="FFFFFF" w:sz="0"/>
              <w:left w:val="none" w:color="FFFFFF" w:sz="0"/>
              <w:bottom w:val="none" w:color="FFFFFF" w:sz="0"/>
              <w:right w:val="none" w:color="FFFFFF" w:sz="0"/>
            </w:tcBorders>
            <w:shd w:fill="FFFFFF" w:val="clear"/>
            <w:tcMar>
              <w:top w:type="dxa" w:w="80"/>
              <w:left w:type="dxa" w:w="100"/>
              <w:bottom w:type="dxa" w:w="80"/>
              <w:right w:type="dxa" w:w="80"/>
            </w:tcMar>
          </w:tcPr>
          <w:p>
            <w:r>
              <w:rPr>
                <w:rFonts w:ascii="Arial" w:cs="Arial" w:eastAsia="Arial" w:hAnsi="Arial"/>
                <w:color w:val="64748B"/>
                <w:sz w:val="19"/>
                <w:szCs w:val="19"/>
              </w:rPr>
              <w:t xml:space="preserve">Polymers, surface functionalization, 3D printing, material–tissue simulation</w:t>
            </w:r>
          </w:p>
        </w:tc>
      </w:tr>
      <w:tr>
        <w:tc>
          <w:tcPr>
            <w:tcW w:type="dxa" w:w="4500"/>
            <w:tcBorders>
              <w:top w:val="none" w:color="FFFFFF" w:sz="0"/>
              <w:left w:val="none" w:color="FFFFFF" w:sz="0"/>
              <w:bottom w:val="none" w:color="FFFFFF" w:sz="0"/>
              <w:right w:val="none" w:color="FFFFFF" w:sz="0"/>
            </w:tcBorders>
            <w:shd w:fill="F8FAFC" w:val="clear"/>
            <w:tcMar>
              <w:top w:type="dxa" w:w="80"/>
              <w:left w:type="dxa" w:w="100"/>
              <w:bottom w:type="dxa" w:w="80"/>
              <w:right w:type="dxa" w:w="80"/>
            </w:tcMar>
          </w:tcPr>
          <w:p>
            <w:r>
              <w:rPr>
                <w:rFonts w:ascii="Arial" w:cs="Arial" w:eastAsia="Arial" w:hAnsi="Arial"/>
                <w:b/>
                <w:bCs/>
                <w:color w:val="1E293B"/>
                <w:sz w:val="19"/>
                <w:szCs w:val="19"/>
              </w:rPr>
              <w:t xml:space="preserve">3D Bioprinting</w:t>
            </w:r>
          </w:p>
        </w:tc>
        <w:tc>
          <w:tcPr>
            <w:tcW w:type="dxa" w:w="5436"/>
            <w:tcBorders>
              <w:top w:val="none" w:color="FFFFFF" w:sz="0"/>
              <w:left w:val="none" w:color="FFFFFF" w:sz="0"/>
              <w:bottom w:val="none" w:color="FFFFFF" w:sz="0"/>
              <w:right w:val="none" w:color="FFFFFF" w:sz="0"/>
            </w:tcBorders>
            <w:shd w:fill="F8FAFC" w:val="clear"/>
            <w:tcMar>
              <w:top w:type="dxa" w:w="80"/>
              <w:left w:type="dxa" w:w="100"/>
              <w:bottom w:type="dxa" w:w="80"/>
              <w:right w:type="dxa" w:w="80"/>
            </w:tcMar>
          </w:tcPr>
          <w:p>
            <w:r>
              <w:rPr>
                <w:rFonts w:ascii="Arial" w:cs="Arial" w:eastAsia="Arial" w:hAnsi="Arial"/>
                <w:color w:val="64748B"/>
                <w:sz w:val="19"/>
                <w:szCs w:val="19"/>
              </w:rPr>
              <w:t xml:space="preserve">Bioink formulation, rheology, extrusion/inkjet/laser · multiphysics modeling</w:t>
            </w:r>
          </w:p>
        </w:tc>
      </w:tr>
    </w:tbl>
    <w:p>
      <w:pPr>
        <w:spacing w:after="0" w:before="60"/>
      </w:pPr>
    </w:p>
    <w:p>
      <w:pPr>
        <w:spacing w:after="60" w:before="280"/>
      </w:pPr>
      <w:r>
        <w:rPr>
          <w:rFonts w:ascii="Arial" w:cs="Arial" w:eastAsia="Arial" w:hAnsi="Arial"/>
          <w:b/>
          <w:bCs/>
          <w:color w:val="1D4ED8"/>
          <w:spacing w:val="40"/>
          <w:sz w:val="22"/>
          <w:szCs w:val="22"/>
        </w:rPr>
        <w:t xml:space="preserve">CONFERENCE PRESENTATIONS</w:t>
      </w:r>
    </w:p>
    <w:p>
      <w:pPr>
        <w:pBdr>
          <w:bottom w:val="single" w:color="1D4ED8" w:sz="6"/>
        </w:pBdr>
        <w:spacing w:after="140" w:before="0"/>
      </w:pPr>
    </w:p>
    <w:p>
      <w:pPr>
        <w:pStyle w:val="ListParagraph"/>
        <w:numPr>
          <w:ilvl w:val="0"/>
          <w:numId w:val="2"/>
        </w:numPr>
        <w:spacing w:after="40" w:before="40"/>
      </w:pPr>
      <w:r>
        <w:rPr>
          <w:rFonts w:ascii="Arial" w:cs="Arial" w:eastAsia="Arial" w:hAnsi="Arial"/>
          <w:color w:val="1E293B"/>
          <w:sz w:val="20"/>
          <w:szCs w:val="20"/>
        </w:rPr>
        <w:t xml:space="preserve">PPS 2024 (39th International Conference, Prague) — Accelerating Tissue Maturation through Magnetized Cell Spheroids (Oral)</w:t>
      </w:r>
    </w:p>
    <w:p>
      <w:pPr>
        <w:pStyle w:val="ListParagraph"/>
        <w:numPr>
          <w:ilvl w:val="0"/>
          <w:numId w:val="2"/>
        </w:numPr>
        <w:spacing w:after="40" w:before="40"/>
      </w:pPr>
      <w:r>
        <w:rPr>
          <w:rFonts w:ascii="Arial" w:cs="Arial" w:eastAsia="Arial" w:hAnsi="Arial"/>
          <w:color w:val="1E293B"/>
          <w:sz w:val="20"/>
          <w:szCs w:val="20"/>
        </w:rPr>
        <w:t xml:space="preserve">Colegio Colombiano de Neurociencias (COLNE 2025) — Fluorescent Nanoparticles on a Chip for Alzheimer's Early Diagnosis (Oral)</w:t>
      </w:r>
    </w:p>
    <w:p>
      <w:pPr>
        <w:pStyle w:val="ListParagraph"/>
        <w:numPr>
          <w:ilvl w:val="0"/>
          <w:numId w:val="2"/>
        </w:numPr>
        <w:spacing w:after="40" w:before="40"/>
      </w:pPr>
      <w:r>
        <w:rPr>
          <w:rFonts w:ascii="Arial" w:cs="Arial" w:eastAsia="Arial" w:hAnsi="Arial"/>
          <w:color w:val="1E293B"/>
          <w:sz w:val="20"/>
          <w:szCs w:val="20"/>
        </w:rPr>
        <w:t xml:space="preserve">ACS Fall 2023 — Low-cost microfluidic device for efficient assembly of cell spheroids (Oral)</w:t>
      </w:r>
    </w:p>
    <w:p>
      <w:pPr>
        <w:pStyle w:val="ListParagraph"/>
        <w:numPr>
          <w:ilvl w:val="0"/>
          <w:numId w:val="2"/>
        </w:numPr>
        <w:spacing w:after="40" w:before="40"/>
      </w:pPr>
      <w:r>
        <w:rPr>
          <w:rFonts w:ascii="Arial" w:cs="Arial" w:eastAsia="Arial" w:hAnsi="Arial"/>
          <w:color w:val="1E293B"/>
          <w:sz w:val="20"/>
          <w:szCs w:val="20"/>
        </w:rPr>
        <w:t xml:space="preserve">ACS Fall 2022 — Design, simulation, and testing of a pinched-flow microfluidic geometry (Oral)</w:t>
      </w:r>
    </w:p>
    <w:p>
      <w:pPr>
        <w:pStyle w:val="ListParagraph"/>
        <w:numPr>
          <w:ilvl w:val="0"/>
          <w:numId w:val="2"/>
        </w:numPr>
        <w:spacing w:after="40" w:before="40"/>
      </w:pPr>
      <w:r>
        <w:rPr>
          <w:rFonts w:ascii="Arial" w:cs="Arial" w:eastAsia="Arial" w:hAnsi="Arial"/>
          <w:color w:val="1E293B"/>
          <w:sz w:val="20"/>
          <w:szCs w:val="20"/>
        </w:rPr>
        <w:t xml:space="preserve">2nd International Electronic Conference on Biomolecules (2022) — Poster Presentation</w:t>
      </w:r>
    </w:p>
    <w:p>
      <w:pPr>
        <w:spacing w:after="60" w:before="280"/>
      </w:pPr>
      <w:r>
        <w:rPr>
          <w:rFonts w:ascii="Arial" w:cs="Arial" w:eastAsia="Arial" w:hAnsi="Arial"/>
          <w:b/>
          <w:bCs/>
          <w:color w:val="1D4ED8"/>
          <w:spacing w:val="40"/>
          <w:sz w:val="22"/>
          <w:szCs w:val="22"/>
        </w:rPr>
        <w:t xml:space="preserve">AWARDS &amp; SCHOLARSHIPS</w:t>
      </w:r>
    </w:p>
    <w:p>
      <w:pPr>
        <w:pBdr>
          <w:bottom w:val="single" w:color="1D4ED8" w:sz="6"/>
        </w:pBdr>
        <w:spacing w:after="140" w:before="0"/>
      </w:pPr>
    </w:p>
    <w:p>
      <w:pPr>
        <w:pStyle w:val="ListParagraph"/>
        <w:numPr>
          <w:ilvl w:val="0"/>
          <w:numId w:val="2"/>
        </w:numPr>
        <w:spacing w:after="40" w:before="40"/>
      </w:pPr>
      <w:r>
        <w:rPr>
          <w:rFonts w:ascii="Arial" w:cs="Arial" w:eastAsia="Arial" w:hAnsi="Arial"/>
          <w:color w:val="1E293B"/>
          <w:sz w:val="20"/>
          <w:szCs w:val="20"/>
        </w:rPr>
        <w:t xml:space="preserve">National Government Scholarship "Ser Pilo Paga" (2018–2021) — full tuition for top national university entrance exam scorer</w:t>
      </w:r>
    </w:p>
    <w:p>
      <w:pPr>
        <w:pStyle w:val="ListParagraph"/>
        <w:numPr>
          <w:ilvl w:val="0"/>
          <w:numId w:val="2"/>
        </w:numPr>
        <w:spacing w:after="40" w:before="40"/>
      </w:pPr>
      <w:r>
        <w:rPr>
          <w:rFonts w:ascii="Arial" w:cs="Arial" w:eastAsia="Arial" w:hAnsi="Arial"/>
          <w:color w:val="1E293B"/>
          <w:sz w:val="20"/>
          <w:szCs w:val="20"/>
        </w:rPr>
        <w:t xml:space="preserve">2nd Highest GPA, Master's in Biomedical Engineering cohort — Universidad de los Andes (2022–2023)</w:t>
      </w:r>
    </w:p>
    <w:p>
      <w:pPr>
        <w:pStyle w:val="ListParagraph"/>
        <w:numPr>
          <w:ilvl w:val="0"/>
          <w:numId w:val="2"/>
        </w:numPr>
        <w:spacing w:after="40" w:before="40"/>
      </w:pPr>
      <w:r>
        <w:rPr>
          <w:rFonts w:ascii="Arial" w:cs="Arial" w:eastAsia="Arial" w:hAnsi="Arial"/>
          <w:color w:val="1E293B"/>
          <w:sz w:val="20"/>
          <w:szCs w:val="20"/>
        </w:rPr>
        <w:t xml:space="preserve">Top Quartile Teaching Evaluation — Faculty of Engineering, Universidad de los Andes (2025)</w:t>
      </w:r>
    </w:p>
    <w:sectPr>
      <w:headerReference w:type="default" r:id="rId7"/>
      <w:pgSz w:w="12240" w:h="15840" w:orient="portrait"/>
      <w:pgMar w:top="1152" w:right="1152" w:bottom="1152"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4"/>
      </w:pBdr>
      <w:tabs>
        <w:tab w:val="right" w:pos="9936"/>
      </w:tabs>
      <w:spacing w:after="100" w:before="0"/>
    </w:pPr>
    <w:r>
      <w:rPr>
        <w:rFonts w:ascii="Arial" w:cs="Arial" w:eastAsia="Arial" w:hAnsi="Arial"/>
        <w:b/>
        <w:bCs/>
        <w:color w:val="1D4ED8"/>
        <w:sz w:val="18"/>
        <w:szCs w:val="18"/>
      </w:rPr>
      <w:t xml:space="preserve">Cristian F. Rodríguez Ospino</w:t>
    </w:r>
    <w:r>
      <w:rPr>
        <w:rFonts w:ascii="Arial" w:cs="Arial" w:eastAsia="Arial" w:hAnsi="Arial"/>
        <w:sz w:val="18"/>
        <w:szCs w:val="18"/>
      </w:rPr>
      <w:t xml:space="preserve">	</w:t>
    </w:r>
    <w:r>
      <w:rPr>
        <w:rFonts w:ascii="Arial" w:cs="Arial" w:eastAsia="Arial" w:hAnsi="Arial"/>
        <w:color w:val="64748B"/>
        <w:sz w:val="18"/>
        <w:szCs w:val="18"/>
      </w:rPr>
      <w:t xml:space="preserve">Page </w:t>
    </w:r>
    <w:r>
      <w:rPr>
        <w:rFonts w:ascii="Arial" w:cs="Arial" w:eastAsia="Arial" w:hAnsi="Arial"/>
        <w:color w:val="64748B"/>
        <w:sz w:val="18"/>
        <w:szCs w:val="18"/>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orlorjec0gxhgjbqhmpls" Type="http://schemas.openxmlformats.org/officeDocument/2006/relationships/hyperlink" Target="https://scholar.google.com/citations?user=ZtjgHeMAAAAJ&amp;hl=en" TargetMode="External"/><Relationship Id="rIdfvmdpi8na6umx3odnovtj" Type="http://schemas.openxmlformats.org/officeDocument/2006/relationships/hyperlink" Target="https://www.linkedin.com/in/cristian-rodriguez-ospino" TargetMode="External"/><Relationship Id="rIdzxsywwcf7btup95bdpqo5" Type="http://schemas.openxmlformats.org/officeDocument/2006/relationships/hyperlink" Target="https://scholar.google.com/citations?user=ZtjgHeMAAAAJ&amp;hl=en" TargetMode="External"/><Relationship Id="rIddejikarlg38nusqlxl-8z" Type="http://schemas.openxmlformats.org/officeDocument/2006/relationships/hyperlink" Target="https://www.nature.com/articles/s41598-025-04495-2" TargetMode="External"/><Relationship Id="rIdyl6e82u5pefblmjlvyjwb" Type="http://schemas.openxmlformats.org/officeDocument/2006/relationships/hyperlink" Target="https://www.tandfonline.com/doi/abs/10.1080/17425247.2025.2506829" TargetMode="External"/><Relationship Id="rIdlocji2mnveh0wyk3eg-ns" Type="http://schemas.openxmlformats.org/officeDocument/2006/relationships/hyperlink" Target="https://www.mdpi.com/2624-845X/6/2/10" TargetMode="External"/><Relationship Id="rId5lcztleygxnp93v4l_us_" Type="http://schemas.openxmlformats.org/officeDocument/2006/relationships/hyperlink" Target="https://doi.org/10.3390/mi15091121" TargetMode="External"/><Relationship Id="rId3jmmekgabz1-vesvolodw" Type="http://schemas.openxmlformats.org/officeDocument/2006/relationships/hyperlink" Target="https://doi.org/10.3390/mi15111299" TargetMode="External"/><Relationship Id="rId3mubfvdjwher-datax_ey" Type="http://schemas.openxmlformats.org/officeDocument/2006/relationships/hyperlink" Target="https://doi.org/10.3389/fbioe.2024.1410863" TargetMode="External"/><Relationship Id="rIdqjx8yvyo-xfv7z1x7yity" Type="http://schemas.openxmlformats.org/officeDocument/2006/relationships/hyperlink" Target="https://www.sciencedirect.com/science/article/abs/pii/B9780443153938000099" TargetMode="External"/><Relationship Id="rIdcfsomzy1bhpc97cfppj88" Type="http://schemas.openxmlformats.org/officeDocument/2006/relationships/hyperlink" Target="https://www.taylorfrancis.com/chapters/edit/10.1201/9781003473183-6/carbon-based-nanocarriers-cristian-rodr%C3%ADguez-paula-guzm%C3%A1n-sastoque-coryna-rodriguez-bazurto-juan-rojas-hern%C3%A1ndez-luis-reyes-juan-cruz" TargetMode="External"/><Relationship Id="rIdb-0oibarfuhxnijap1rrs" Type="http://schemas.openxmlformats.org/officeDocument/2006/relationships/hyperlink" Target="https://www.taylorfrancis.com/chapters/edit/10.1201/9781003473183-11/delivery-nucleic-acids-using-nanocarriers-paula-guzm%C3%A1n-sastoque-mar%C3%ADa-camila-monsalve-cristian-rodr%C3%ADguez-stiven-castellanos-juan-cruz-luis-reyes" TargetMode="External"/><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2026-03-26T16:24:13.490Z</dcterms:created>
  <dcterms:modified xsi:type="dcterms:W3CDTF">2026-03-26T16:24:13.492Z</dcterms:modified>
</cp:coreProperties>
</file>

<file path=docProps/custom.xml><?xml version="1.0" encoding="utf-8"?>
<Properties xmlns="http://schemas.openxmlformats.org/officeDocument/2006/custom-properties" xmlns:vt="http://schemas.openxmlformats.org/officeDocument/2006/docPropsVTypes"/>
</file>