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A11Y</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Hay proyectos en los que se requiere hacer las pantallas accesibles, la accesibilidad puede involucrar muchos tipos de discapacidad, algunos tipos son: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Problemas visuales (ceguera, daltonismo…)</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Problemas auditivos (baja audición, sordera…)</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Problemas físicos (impedimento de movilidad o ausencia de un miembro)</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Problemas cognitivos (discapacidad mental)</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Problemas neurológicos (epilepsia, parkinson)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Accesibilidad en la web - A11Y</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Hacer una web accesible nos beneficia a todos, A11Y nos ayuda a identificar los términos relacionados con accesibilidad digital.</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WCAG</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Los documentos (WCAG) son documentos técnicos que contienen un conjunto de políticas o pautas que se deben seguir para hacer el contenido de la web accesible.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Estos documentos son generados por la WAI (Web Accessibility Initiative) que forma parte de la W3C (World Wide Consortium, principal organización que rige los estándares de internet)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HTML semántico</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No se puede hacer accesible cualquier contenido desarrollado con HTML5, o sea, que el propósito de una etiqueta sea para finalidad en que la misma fue creada. Los lectores de pantalla están por defecto preparados para identificar cada una de las etiquetas standard que forman la web. El HTML semántico es esencial para conseguir una mejor calidad de usabilidad por defecto.</w:t>
      </w:r>
    </w:p>
    <w:p w:rsidR="00000000" w:rsidDel="00000000" w:rsidP="00000000" w:rsidRDefault="00000000" w:rsidRPr="00000000" w14:paraId="00000018">
      <w:pPr>
        <w:rPr>
          <w:sz w:val="24"/>
          <w:szCs w:val="24"/>
        </w:rPr>
      </w:pPr>
      <w:r w:rsidDel="00000000" w:rsidR="00000000" w:rsidRPr="00000000">
        <w:rPr>
          <w:sz w:val="24"/>
          <w:szCs w:val="24"/>
          <w:rtl w:val="0"/>
        </w:rPr>
        <w:t xml:space="preserve">Se deben cambiar las etiquetas de contenedores &lt;div&gt; por las debidas etiquetas nativas dependiendo de su uso (header, aside, footer, main…).</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HTML semántico - Premisas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Mantener el focus con buena visibilidad a etiquetas enfocables e importantes como botones o enlaces.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Solo usar un título principal (h1) por página pero si podemos usar más de un subtítulo (de h2 a h6), siendo usado con sentido.</w:t>
      </w:r>
    </w:p>
    <w:p w:rsidR="00000000" w:rsidDel="00000000" w:rsidP="00000000" w:rsidRDefault="00000000" w:rsidRPr="00000000" w14:paraId="0000001F">
      <w:pPr>
        <w:rPr>
          <w:sz w:val="24"/>
          <w:szCs w:val="24"/>
        </w:rPr>
      </w:pPr>
      <w:r w:rsidDel="00000000" w:rsidR="00000000" w:rsidRPr="00000000">
        <w:rPr>
          <w:sz w:val="24"/>
          <w:szCs w:val="24"/>
          <w:rtl w:val="0"/>
        </w:rPr>
        <w:t xml:space="preserve">Las imágenes deben tener una descripción cuando tenga sentido tenerla (atributo ALT o TITLE). Las imágenes con enlaces en href, deben quedarse con sus atributos vacíos.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Se debe utilizar toda la estructura de un formulario para garantizar a los lectores de pantalla que es un formulario.</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Evitar redundancias, usar etiquetas adecuadas al tipo de elemento.</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Hay componentes distintos que no existen en HTML, estos se cogerán de los roles, atributos, disponibles y Javascript.</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Hacer uso de la propiedad “tabindex”, esta sirve para poder navegar con la tecla TAB seleccionando estos elementos (tabindex = -1 no es navegable por la tecla tab)</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WAI-ARIA</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Según la W3C, las aplicaciones de internet enriquecidas (WAI-ARIA = Web Accessibility Initiative - Accessible Rich Internet Applications) son un conjunto de atributos que definen formas de hacer el contenido y aplicaciones web sean más accesibles para las personas con discapacidad. ARIA ofrece a los desarrolladores la opción de agregar información semántica complementaria a nuestros desarrollos: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numPr>
          <w:ilvl w:val="0"/>
          <w:numId w:val="2"/>
        </w:numPr>
        <w:ind w:left="720" w:hanging="360"/>
        <w:rPr>
          <w:sz w:val="24"/>
          <w:szCs w:val="24"/>
          <w:u w:val="none"/>
        </w:rPr>
      </w:pPr>
      <w:r w:rsidDel="00000000" w:rsidR="00000000" w:rsidRPr="00000000">
        <w:rPr>
          <w:sz w:val="24"/>
          <w:szCs w:val="24"/>
          <w:rtl w:val="0"/>
        </w:rPr>
        <w:t xml:space="preserve">Roles para describir el tipo de widget presentado, por ejemplo: ‘menú’, ‘elemento de árbol’, ‘barra de progreso’...</w:t>
      </w:r>
    </w:p>
    <w:p w:rsidR="00000000" w:rsidDel="00000000" w:rsidP="00000000" w:rsidRDefault="00000000" w:rsidRPr="00000000" w14:paraId="0000002E">
      <w:pPr>
        <w:numPr>
          <w:ilvl w:val="0"/>
          <w:numId w:val="2"/>
        </w:numPr>
        <w:ind w:left="720" w:hanging="360"/>
        <w:rPr>
          <w:sz w:val="24"/>
          <w:szCs w:val="24"/>
          <w:u w:val="none"/>
        </w:rPr>
      </w:pPr>
      <w:r w:rsidDel="00000000" w:rsidR="00000000" w:rsidRPr="00000000">
        <w:rPr>
          <w:sz w:val="24"/>
          <w:szCs w:val="24"/>
          <w:rtl w:val="0"/>
        </w:rPr>
        <w:t xml:space="preserve">Roles para describir la estructura de la página web, como encabezados, regiones, áreas de búsqueda y áreas de navegación.</w:t>
      </w:r>
    </w:p>
    <w:p w:rsidR="00000000" w:rsidDel="00000000" w:rsidP="00000000" w:rsidRDefault="00000000" w:rsidRPr="00000000" w14:paraId="0000002F">
      <w:pPr>
        <w:numPr>
          <w:ilvl w:val="0"/>
          <w:numId w:val="2"/>
        </w:numPr>
        <w:ind w:left="720" w:hanging="360"/>
        <w:rPr>
          <w:sz w:val="24"/>
          <w:szCs w:val="24"/>
          <w:u w:val="none"/>
        </w:rPr>
      </w:pPr>
      <w:r w:rsidDel="00000000" w:rsidR="00000000" w:rsidRPr="00000000">
        <w:rPr>
          <w:sz w:val="24"/>
          <w:szCs w:val="24"/>
          <w:rtl w:val="0"/>
        </w:rPr>
        <w:t xml:space="preserve">Las propiedades para describir los widgets de estado se encuentran como ‘marcada’ para una casilla de verificación, ‘haspopup’ para un menú que representa un submenú u otra ventana emergente y ‘expandido / contraído’ para un nodo de árbol.</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