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A01A" w14:textId="77777777" w:rsidR="004124F2" w:rsidRPr="00FE2A3E" w:rsidRDefault="00000000">
      <w:pPr>
        <w:spacing w:after="80"/>
        <w:jc w:val="center"/>
        <w:rPr>
          <w:color w:val="000000" w:themeColor="text1"/>
          <w:lang w:val="es-ES"/>
        </w:rPr>
      </w:pPr>
      <w:r w:rsidRPr="00FE2A3E">
        <w:rPr>
          <w:rFonts w:ascii="Arial" w:hAnsi="Arial"/>
          <w:b/>
          <w:color w:val="000000" w:themeColor="text1"/>
          <w:sz w:val="36"/>
          <w:lang w:val="es-ES"/>
        </w:rPr>
        <w:t>INFORME TÉCNICO DE ANÁLISIS Y RETENCIÓN DE CLIENTES</w:t>
      </w:r>
    </w:p>
    <w:p w14:paraId="5191E640" w14:textId="77777777" w:rsidR="004124F2" w:rsidRPr="00FE2A3E" w:rsidRDefault="00000000">
      <w:pPr>
        <w:spacing w:after="300"/>
        <w:jc w:val="center"/>
        <w:rPr>
          <w:color w:val="000000" w:themeColor="text1"/>
          <w:lang w:val="es-ES"/>
        </w:rPr>
      </w:pPr>
      <w:r w:rsidRPr="00FE2A3E">
        <w:rPr>
          <w:rFonts w:ascii="Arial" w:hAnsi="Arial"/>
          <w:color w:val="000000" w:themeColor="text1"/>
          <w:lang w:val="es-ES"/>
        </w:rPr>
        <w:t>Evaluación Analítica, Patrones de Cancelación y Toma de Decisiones (Periodo Enero - Julio 2026)</w:t>
      </w:r>
    </w:p>
    <w:tbl>
      <w:tblPr>
        <w:tblW w:w="0" w:type="auto"/>
        <w:jc w:val="center"/>
        <w:tblLook w:val="04A0" w:firstRow="1" w:lastRow="0" w:firstColumn="1" w:lastColumn="0" w:noHBand="0" w:noVBand="1"/>
      </w:tblPr>
      <w:tblGrid>
        <w:gridCol w:w="3120"/>
        <w:gridCol w:w="3120"/>
        <w:gridCol w:w="3120"/>
      </w:tblGrid>
      <w:tr w:rsidR="004124F2" w:rsidRPr="00FE2A3E" w14:paraId="3750359D" w14:textId="77777777">
        <w:trPr>
          <w:jc w:val="center"/>
        </w:trPr>
        <w:tc>
          <w:tcPr>
            <w:tcW w:w="3120" w:type="dxa"/>
            <w:shd w:val="clear" w:color="auto" w:fill="F7FAFC"/>
            <w:tcMar>
              <w:top w:w="120" w:type="dxa"/>
              <w:left w:w="150" w:type="dxa"/>
              <w:bottom w:w="120" w:type="dxa"/>
              <w:right w:w="150" w:type="dxa"/>
            </w:tcMar>
          </w:tcPr>
          <w:p w14:paraId="653B192A" w14:textId="77777777" w:rsidR="004124F2" w:rsidRPr="00FE2A3E" w:rsidRDefault="00000000">
            <w:pPr>
              <w:spacing w:after="0"/>
              <w:rPr>
                <w:color w:val="000000" w:themeColor="text1"/>
              </w:rPr>
            </w:pPr>
            <w:proofErr w:type="spellStart"/>
            <w:r w:rsidRPr="00FE2A3E">
              <w:rPr>
                <w:b/>
                <w:color w:val="000000" w:themeColor="text1"/>
                <w:sz w:val="19"/>
              </w:rPr>
              <w:t>Responsable</w:t>
            </w:r>
            <w:proofErr w:type="spellEnd"/>
            <w:r w:rsidRPr="00FE2A3E">
              <w:rPr>
                <w:b/>
                <w:color w:val="000000" w:themeColor="text1"/>
                <w:sz w:val="19"/>
              </w:rPr>
              <w:t xml:space="preserve">: </w:t>
            </w:r>
            <w:r w:rsidRPr="00FE2A3E">
              <w:rPr>
                <w:color w:val="000000" w:themeColor="text1"/>
                <w:sz w:val="19"/>
              </w:rPr>
              <w:t>Cristian (</w:t>
            </w:r>
            <w:proofErr w:type="spellStart"/>
            <w:r w:rsidRPr="00FE2A3E">
              <w:rPr>
                <w:color w:val="000000" w:themeColor="text1"/>
                <w:sz w:val="19"/>
              </w:rPr>
              <w:t>Pasante</w:t>
            </w:r>
            <w:proofErr w:type="spellEnd"/>
            <w:r w:rsidRPr="00FE2A3E">
              <w:rPr>
                <w:color w:val="000000" w:themeColor="text1"/>
                <w:sz w:val="19"/>
              </w:rPr>
              <w:t>)</w:t>
            </w:r>
          </w:p>
        </w:tc>
        <w:tc>
          <w:tcPr>
            <w:tcW w:w="3120" w:type="dxa"/>
            <w:shd w:val="clear" w:color="auto" w:fill="F7FAFC"/>
            <w:tcMar>
              <w:top w:w="120" w:type="dxa"/>
              <w:left w:w="150" w:type="dxa"/>
              <w:bottom w:w="120" w:type="dxa"/>
              <w:right w:w="150" w:type="dxa"/>
            </w:tcMar>
          </w:tcPr>
          <w:p w14:paraId="27413A06" w14:textId="77777777" w:rsidR="004124F2" w:rsidRPr="00FE2A3E" w:rsidRDefault="00000000">
            <w:pPr>
              <w:spacing w:after="0"/>
              <w:rPr>
                <w:color w:val="000000" w:themeColor="text1"/>
                <w:lang w:val="es-ES"/>
              </w:rPr>
            </w:pPr>
            <w:r w:rsidRPr="00FE2A3E">
              <w:rPr>
                <w:b/>
                <w:color w:val="000000" w:themeColor="text1"/>
                <w:sz w:val="19"/>
                <w:lang w:val="es-ES"/>
              </w:rPr>
              <w:t xml:space="preserve">Área: </w:t>
            </w:r>
            <w:r w:rsidRPr="00FE2A3E">
              <w:rPr>
                <w:color w:val="000000" w:themeColor="text1"/>
                <w:sz w:val="19"/>
                <w:lang w:val="es-ES"/>
              </w:rPr>
              <w:t>Gestión de Retención y Datos</w:t>
            </w:r>
          </w:p>
        </w:tc>
        <w:tc>
          <w:tcPr>
            <w:tcW w:w="3120" w:type="dxa"/>
            <w:shd w:val="clear" w:color="auto" w:fill="F7FAFC"/>
            <w:tcMar>
              <w:top w:w="120" w:type="dxa"/>
              <w:left w:w="150" w:type="dxa"/>
              <w:bottom w:w="120" w:type="dxa"/>
              <w:right w:w="150" w:type="dxa"/>
            </w:tcMar>
          </w:tcPr>
          <w:p w14:paraId="0C5BC2E3" w14:textId="77777777" w:rsidR="004124F2" w:rsidRPr="00FE2A3E" w:rsidRDefault="00000000">
            <w:pPr>
              <w:spacing w:after="0"/>
              <w:rPr>
                <w:color w:val="000000" w:themeColor="text1"/>
              </w:rPr>
            </w:pPr>
            <w:proofErr w:type="spellStart"/>
            <w:r w:rsidRPr="00FE2A3E">
              <w:rPr>
                <w:b/>
                <w:color w:val="000000" w:themeColor="text1"/>
                <w:sz w:val="19"/>
              </w:rPr>
              <w:t>Fecha</w:t>
            </w:r>
            <w:proofErr w:type="spellEnd"/>
            <w:r w:rsidRPr="00FE2A3E">
              <w:rPr>
                <w:b/>
                <w:color w:val="000000" w:themeColor="text1"/>
                <w:sz w:val="19"/>
              </w:rPr>
              <w:t xml:space="preserve">: </w:t>
            </w:r>
            <w:r w:rsidRPr="00FE2A3E">
              <w:rPr>
                <w:color w:val="000000" w:themeColor="text1"/>
                <w:sz w:val="19"/>
              </w:rPr>
              <w:t>Julio 2026</w:t>
            </w:r>
          </w:p>
        </w:tc>
      </w:tr>
    </w:tbl>
    <w:p w14:paraId="1B2595E3" w14:textId="77777777" w:rsidR="004124F2" w:rsidRPr="00FE2A3E" w:rsidRDefault="004124F2">
      <w:pPr>
        <w:rPr>
          <w:color w:val="000000" w:themeColor="text1"/>
        </w:rPr>
      </w:pPr>
    </w:p>
    <w:p w14:paraId="0BF3F4BE" w14:textId="77777777" w:rsidR="004124F2" w:rsidRPr="00FE2A3E" w:rsidRDefault="00000000">
      <w:pPr>
        <w:keepNext/>
        <w:spacing w:before="280" w:after="80"/>
        <w:rPr>
          <w:color w:val="000000" w:themeColor="text1"/>
        </w:rPr>
      </w:pPr>
      <w:r w:rsidRPr="00FE2A3E">
        <w:rPr>
          <w:rFonts w:ascii="Arial" w:hAnsi="Arial"/>
          <w:b/>
          <w:color w:val="000000" w:themeColor="text1"/>
          <w:sz w:val="26"/>
        </w:rPr>
        <w:t>1. Resumen Ejecutivo y Alcance</w:t>
      </w:r>
    </w:p>
    <w:p w14:paraId="2900D73F" w14:textId="48A49335" w:rsidR="004124F2" w:rsidRPr="00FE2A3E" w:rsidRDefault="00000000">
      <w:pPr>
        <w:spacing w:after="120"/>
        <w:rPr>
          <w:color w:val="000000" w:themeColor="text1"/>
          <w:lang w:val="es-ES"/>
        </w:rPr>
      </w:pPr>
      <w:r w:rsidRPr="00FE2A3E">
        <w:rPr>
          <w:rFonts w:ascii="Arial" w:hAnsi="Arial"/>
          <w:color w:val="000000" w:themeColor="text1"/>
          <w:sz w:val="20"/>
          <w:lang w:val="es-ES"/>
        </w:rPr>
        <w:t>El presente documento integra los resultados analíticos derivados de la ejecución de consultas en SAS/SQL durante e</w:t>
      </w:r>
      <w:r w:rsidR="00FE2A3E" w:rsidRPr="00FE2A3E">
        <w:rPr>
          <w:rFonts w:ascii="Arial" w:hAnsi="Arial"/>
          <w:color w:val="000000" w:themeColor="text1"/>
          <w:sz w:val="20"/>
          <w:lang w:val="es-ES"/>
        </w:rPr>
        <w:t>ste año</w:t>
      </w:r>
      <w:r w:rsidRPr="00FE2A3E">
        <w:rPr>
          <w:rFonts w:ascii="Arial" w:hAnsi="Arial"/>
          <w:color w:val="000000" w:themeColor="text1"/>
          <w:sz w:val="20"/>
          <w:lang w:val="es-ES"/>
        </w:rPr>
        <w:t xml:space="preserve"> (enero a julio de 2026). El enfoque principal recae en el estudio detallado del comportamiento de la cartera, la identificación de patrones de cancelación por </w:t>
      </w:r>
      <w:proofErr w:type="gramStart"/>
      <w:r w:rsidRPr="00FE2A3E">
        <w:rPr>
          <w:rFonts w:ascii="Arial" w:hAnsi="Arial"/>
          <w:color w:val="000000" w:themeColor="text1"/>
          <w:sz w:val="20"/>
          <w:lang w:val="es-ES"/>
        </w:rPr>
        <w:t>línea</w:t>
      </w:r>
      <w:proofErr w:type="gramEnd"/>
      <w:r w:rsidRPr="00FE2A3E">
        <w:rPr>
          <w:rFonts w:ascii="Arial" w:hAnsi="Arial"/>
          <w:color w:val="000000" w:themeColor="text1"/>
          <w:sz w:val="20"/>
          <w:lang w:val="es-ES"/>
        </w:rPr>
        <w:t xml:space="preserve"> de negocio (ramo), el monitoreo de clientes inactivos y la formulación de estrategias de retención basadas en datos (Data-</w:t>
      </w:r>
      <w:proofErr w:type="spellStart"/>
      <w:r w:rsidRPr="00FE2A3E">
        <w:rPr>
          <w:rFonts w:ascii="Arial" w:hAnsi="Arial"/>
          <w:color w:val="000000" w:themeColor="text1"/>
          <w:sz w:val="20"/>
          <w:lang w:val="es-ES"/>
        </w:rPr>
        <w:t>Driven</w:t>
      </w:r>
      <w:proofErr w:type="spellEnd"/>
      <w:r w:rsidRPr="00FE2A3E">
        <w:rPr>
          <w:rFonts w:ascii="Arial" w:hAnsi="Arial"/>
          <w:color w:val="000000" w:themeColor="text1"/>
          <w:sz w:val="20"/>
          <w:lang w:val="es-ES"/>
        </w:rPr>
        <w:t>).</w:t>
      </w:r>
    </w:p>
    <w:p w14:paraId="204E4489" w14:textId="77777777" w:rsidR="004124F2" w:rsidRPr="00FE2A3E" w:rsidRDefault="00000000">
      <w:pPr>
        <w:keepNext/>
        <w:spacing w:before="280" w:after="80"/>
        <w:rPr>
          <w:color w:val="000000" w:themeColor="text1"/>
          <w:lang w:val="es-ES"/>
        </w:rPr>
      </w:pPr>
      <w:r w:rsidRPr="00FE2A3E">
        <w:rPr>
          <w:rFonts w:ascii="Arial" w:hAnsi="Arial"/>
          <w:b/>
          <w:color w:val="000000" w:themeColor="text1"/>
          <w:sz w:val="26"/>
          <w:lang w:val="es-ES"/>
        </w:rPr>
        <w:t>2. Análisis de Comportamiento: Inactivos, Cancelaciones y Renovaciones</w:t>
      </w:r>
    </w:p>
    <w:p w14:paraId="75A7FB88" w14:textId="77777777" w:rsidR="004124F2" w:rsidRPr="00FE2A3E" w:rsidRDefault="00000000">
      <w:pPr>
        <w:spacing w:after="120"/>
        <w:rPr>
          <w:color w:val="000000" w:themeColor="text1"/>
          <w:lang w:val="es-ES"/>
        </w:rPr>
      </w:pPr>
      <w:r w:rsidRPr="00FE2A3E">
        <w:rPr>
          <w:rFonts w:ascii="Arial" w:hAnsi="Arial"/>
          <w:b/>
          <w:color w:val="000000" w:themeColor="text1"/>
          <w:sz w:val="20"/>
          <w:lang w:val="es-ES"/>
        </w:rPr>
        <w:t xml:space="preserve">Evaluación de Cartera: </w:t>
      </w:r>
      <w:r w:rsidRPr="00FE2A3E">
        <w:rPr>
          <w:rFonts w:ascii="Arial" w:hAnsi="Arial"/>
          <w:color w:val="000000" w:themeColor="text1"/>
          <w:sz w:val="20"/>
          <w:lang w:val="es-ES"/>
        </w:rPr>
        <w:t>A partir de la extracción y normalización de las bases de datos de clientes y pólizas, se evaluaron tres dimensiones críticas del comportamiento del tomador en lo corrido del año 2026:</w:t>
      </w:r>
    </w:p>
    <w:p w14:paraId="48698059"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Clientes Inactivos (</w:t>
      </w:r>
      <w:proofErr w:type="gramStart"/>
      <w:r w:rsidRPr="00FE2A3E">
        <w:rPr>
          <w:b/>
          <w:color w:val="000000" w:themeColor="text1"/>
          <w:sz w:val="20"/>
          <w:lang w:val="es-ES"/>
        </w:rPr>
        <w:t>Enero</w:t>
      </w:r>
      <w:proofErr w:type="gramEnd"/>
      <w:r w:rsidRPr="00FE2A3E">
        <w:rPr>
          <w:b/>
          <w:color w:val="000000" w:themeColor="text1"/>
          <w:sz w:val="20"/>
          <w:lang w:val="es-ES"/>
        </w:rPr>
        <w:t xml:space="preserve"> - Julio 2026): </w:t>
      </w:r>
      <w:r w:rsidRPr="00FE2A3E">
        <w:rPr>
          <w:color w:val="000000" w:themeColor="text1"/>
          <w:sz w:val="20"/>
          <w:lang w:val="es-ES"/>
        </w:rPr>
        <w:t>Mediante el filtrado estricto de estados inactivos ('I', 'INACTIVO') y fechas de baja en el periodo, se identificó un grupo acotado de 7 clientes inactivos directos. Esta cifra controlada permite realizar un seguimiento individualizado de rescate antes de la pérdida total.</w:t>
      </w:r>
    </w:p>
    <w:p w14:paraId="126DBE8F"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Cancelaciones Recientes y Patrones por Ramo: </w:t>
      </w:r>
      <w:r w:rsidRPr="00FE2A3E">
        <w:rPr>
          <w:color w:val="000000" w:themeColor="text1"/>
          <w:sz w:val="20"/>
          <w:lang w:val="es-ES"/>
        </w:rPr>
        <w:t>El análisis de la tabla de patrones de cancelación (filtrada para 2026) demuestra un volumen significativo de anulaciones concentrado de manera masiva en el Ramo 1243, el cual lidera las estadísticas con picos altos en los meses de marzo (11,661 anulaciones), abril (10,679) y febrero (9,872), mostrando una tendencia decreciente hacia junio y julio.</w:t>
      </w:r>
    </w:p>
    <w:p w14:paraId="173440D4"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Dinámica de Renovación y Disminución: </w:t>
      </w:r>
      <w:r w:rsidRPr="00FE2A3E">
        <w:rPr>
          <w:color w:val="000000" w:themeColor="text1"/>
          <w:sz w:val="20"/>
          <w:lang w:val="es-ES"/>
        </w:rPr>
        <w:t>El cruce de pólizas activas frente a las renovadas muestra que la pérdida de vigencia está fuertemente correlacionada con la falta de notificaciones preventivas previas al vencimiento de las cuotas.</w:t>
      </w:r>
    </w:p>
    <w:p w14:paraId="4AA7C66D" w14:textId="77777777" w:rsidR="004124F2" w:rsidRPr="00FE2A3E" w:rsidRDefault="00000000">
      <w:pPr>
        <w:keepNext/>
        <w:spacing w:before="280" w:after="80"/>
        <w:rPr>
          <w:color w:val="000000" w:themeColor="text1"/>
          <w:lang w:val="es-ES"/>
        </w:rPr>
      </w:pPr>
      <w:r w:rsidRPr="00FE2A3E">
        <w:rPr>
          <w:rFonts w:ascii="Arial" w:hAnsi="Arial"/>
          <w:b/>
          <w:color w:val="000000" w:themeColor="text1"/>
          <w:sz w:val="26"/>
          <w:lang w:val="es-ES"/>
        </w:rPr>
        <w:t>3. Identificación de Patrones y Tendencias en los Datos</w:t>
      </w:r>
    </w:p>
    <w:p w14:paraId="21743365" w14:textId="77777777" w:rsidR="004124F2" w:rsidRPr="00FE2A3E" w:rsidRDefault="00000000">
      <w:pPr>
        <w:spacing w:after="120"/>
        <w:rPr>
          <w:color w:val="000000" w:themeColor="text1"/>
          <w:lang w:val="es-ES"/>
        </w:rPr>
      </w:pPr>
      <w:r w:rsidRPr="00FE2A3E">
        <w:rPr>
          <w:rFonts w:ascii="Arial" w:hAnsi="Arial"/>
          <w:color w:val="000000" w:themeColor="text1"/>
          <w:sz w:val="20"/>
          <w:lang w:val="es-ES"/>
        </w:rPr>
        <w:t>El procesamiento analítico de los registros de cancelación permitió detectar las siguientes tendencias estructurales:</w:t>
      </w:r>
    </w:p>
    <w:p w14:paraId="01E45D79"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Estacionalidad de Anulaciones: </w:t>
      </w:r>
      <w:r w:rsidRPr="00FE2A3E">
        <w:rPr>
          <w:color w:val="000000" w:themeColor="text1"/>
          <w:sz w:val="20"/>
          <w:lang w:val="es-ES"/>
        </w:rPr>
        <w:t>Se observa un comportamiento estacional donde el primer trimestre del año (enero a marzo) concentra el mayor volumen de cancelaciones de pólizas en el Ramo principal (1243), sugiriendo una alta sensibilidad económica de los tomadores al inicio del año fiscal.</w:t>
      </w:r>
    </w:p>
    <w:p w14:paraId="30E28BC7"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Concentración por </w:t>
      </w:r>
      <w:proofErr w:type="gramStart"/>
      <w:r w:rsidRPr="00FE2A3E">
        <w:rPr>
          <w:b/>
          <w:color w:val="000000" w:themeColor="text1"/>
          <w:sz w:val="20"/>
          <w:lang w:val="es-ES"/>
        </w:rPr>
        <w:t>Línea</w:t>
      </w:r>
      <w:proofErr w:type="gramEnd"/>
      <w:r w:rsidRPr="00FE2A3E">
        <w:rPr>
          <w:b/>
          <w:color w:val="000000" w:themeColor="text1"/>
          <w:sz w:val="20"/>
          <w:lang w:val="es-ES"/>
        </w:rPr>
        <w:t xml:space="preserve"> de Negocio (Ramo): </w:t>
      </w:r>
      <w:r w:rsidRPr="00FE2A3E">
        <w:rPr>
          <w:color w:val="000000" w:themeColor="text1"/>
          <w:sz w:val="20"/>
          <w:lang w:val="es-ES"/>
        </w:rPr>
        <w:t>El Ramo 1243 representa la inmensa mayoría de las anulaciones en comparación con otros ramos secundarios (como el 2013 o 1942), lo que indica que los esfuerzos de retención deben focalizarse prioritariamente en los productos asociados a este segmento.</w:t>
      </w:r>
    </w:p>
    <w:p w14:paraId="7E191A32"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lastRenderedPageBreak/>
        <w:t xml:space="preserve">Riesgo de Abandono Temprano: </w:t>
      </w:r>
      <w:r w:rsidRPr="00FE2A3E">
        <w:rPr>
          <w:color w:val="000000" w:themeColor="text1"/>
          <w:sz w:val="20"/>
          <w:lang w:val="es-ES"/>
        </w:rPr>
        <w:t>La reducción en el número de pólizas activas se manifiesta con mayor intensidad en clientes con menos de un año de vinculación, evidenciando vulnerabilidad en el proceso de adaptación inicial.</w:t>
      </w:r>
    </w:p>
    <w:p w14:paraId="240EFD42" w14:textId="77777777" w:rsidR="004124F2" w:rsidRPr="00FE2A3E" w:rsidRDefault="00000000">
      <w:pPr>
        <w:keepNext/>
        <w:spacing w:before="280" w:after="80"/>
        <w:rPr>
          <w:color w:val="000000" w:themeColor="text1"/>
          <w:lang w:val="es-ES"/>
        </w:rPr>
      </w:pPr>
      <w:r w:rsidRPr="00FE2A3E">
        <w:rPr>
          <w:rFonts w:ascii="Arial" w:hAnsi="Arial"/>
          <w:b/>
          <w:color w:val="000000" w:themeColor="text1"/>
          <w:sz w:val="26"/>
          <w:lang w:val="es-ES"/>
        </w:rPr>
        <w:t>4. Toma de Decisiones Basada en Datos (Data-</w:t>
      </w:r>
      <w:proofErr w:type="spellStart"/>
      <w:r w:rsidRPr="00FE2A3E">
        <w:rPr>
          <w:rFonts w:ascii="Arial" w:hAnsi="Arial"/>
          <w:b/>
          <w:color w:val="000000" w:themeColor="text1"/>
          <w:sz w:val="26"/>
          <w:lang w:val="es-ES"/>
        </w:rPr>
        <w:t>Driven</w:t>
      </w:r>
      <w:proofErr w:type="spellEnd"/>
      <w:r w:rsidRPr="00FE2A3E">
        <w:rPr>
          <w:rFonts w:ascii="Arial" w:hAnsi="Arial"/>
          <w:b/>
          <w:color w:val="000000" w:themeColor="text1"/>
          <w:sz w:val="26"/>
          <w:lang w:val="es-ES"/>
        </w:rPr>
        <w:t>)</w:t>
      </w:r>
    </w:p>
    <w:p w14:paraId="6E1681A6" w14:textId="77777777" w:rsidR="004124F2" w:rsidRPr="00FE2A3E" w:rsidRDefault="00000000">
      <w:pPr>
        <w:spacing w:after="120"/>
        <w:rPr>
          <w:color w:val="000000" w:themeColor="text1"/>
          <w:lang w:val="es-ES"/>
        </w:rPr>
      </w:pPr>
      <w:r w:rsidRPr="00FE2A3E">
        <w:rPr>
          <w:rFonts w:ascii="Arial" w:hAnsi="Arial"/>
          <w:color w:val="000000" w:themeColor="text1"/>
          <w:sz w:val="20"/>
          <w:lang w:val="es-ES"/>
        </w:rPr>
        <w:t xml:space="preserve">La disponibilidad de reportes automatizados mediante Power </w:t>
      </w:r>
      <w:proofErr w:type="spellStart"/>
      <w:r w:rsidRPr="00FE2A3E">
        <w:rPr>
          <w:rFonts w:ascii="Arial" w:hAnsi="Arial"/>
          <w:color w:val="000000" w:themeColor="text1"/>
          <w:sz w:val="20"/>
          <w:lang w:val="es-ES"/>
        </w:rPr>
        <w:t>Automate</w:t>
      </w:r>
      <w:proofErr w:type="spellEnd"/>
      <w:r w:rsidRPr="00FE2A3E">
        <w:rPr>
          <w:rFonts w:ascii="Arial" w:hAnsi="Arial"/>
          <w:color w:val="000000" w:themeColor="text1"/>
          <w:sz w:val="20"/>
          <w:lang w:val="es-ES"/>
        </w:rPr>
        <w:t xml:space="preserve"> y SharePoint permite trasladar la operación a un modelo de decisiones estratégicas fundamentadas:</w:t>
      </w:r>
    </w:p>
    <w:p w14:paraId="7078B1BE"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Intervención Comercial Preventiva: </w:t>
      </w:r>
      <w:r w:rsidRPr="00FE2A3E">
        <w:rPr>
          <w:color w:val="000000" w:themeColor="text1"/>
          <w:sz w:val="20"/>
          <w:lang w:val="es-ES"/>
        </w:rPr>
        <w:t>Gracias al reporte de alertas de disminución de pólizas y líneas de negocio, el equipo comercial puede actuar con anticipación sobre aquellos tomadores que muestran señales tempranas de reducción antes de que efectúen la cancelación total.</w:t>
      </w:r>
    </w:p>
    <w:p w14:paraId="6147AA5A"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Asignación Eficiente de Recursos: </w:t>
      </w:r>
      <w:r w:rsidRPr="00FE2A3E">
        <w:rPr>
          <w:color w:val="000000" w:themeColor="text1"/>
          <w:sz w:val="20"/>
          <w:lang w:val="es-ES"/>
        </w:rPr>
        <w:t>Identificar que el Ramo 1243 concentra el pico de cancelaciones orienta a la gerencia a destinar presupuestos de retención y descuentos especiales exclusivamente a este segmento de alto impacto.</w:t>
      </w:r>
    </w:p>
    <w:p w14:paraId="155F20EE"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Calidad y Confiabilidad Operativa: </w:t>
      </w:r>
      <w:r w:rsidRPr="00FE2A3E">
        <w:rPr>
          <w:color w:val="000000" w:themeColor="text1"/>
          <w:sz w:val="20"/>
          <w:lang w:val="es-ES"/>
        </w:rPr>
        <w:t>La limpieza de datos y la eliminación de registros duplicados en SQL garantizan que los indicadores de gestión (</w:t>
      </w:r>
      <w:proofErr w:type="spellStart"/>
      <w:r w:rsidRPr="00FE2A3E">
        <w:rPr>
          <w:color w:val="000000" w:themeColor="text1"/>
          <w:sz w:val="20"/>
          <w:lang w:val="es-ES"/>
        </w:rPr>
        <w:t>KPIs</w:t>
      </w:r>
      <w:proofErr w:type="spellEnd"/>
      <w:r w:rsidRPr="00FE2A3E">
        <w:rPr>
          <w:color w:val="000000" w:themeColor="text1"/>
          <w:sz w:val="20"/>
          <w:lang w:val="es-ES"/>
        </w:rPr>
        <w:t>) reflejen la realidad exacta de la cartera.</w:t>
      </w:r>
    </w:p>
    <w:p w14:paraId="7D7F02F4" w14:textId="77777777" w:rsidR="004124F2" w:rsidRPr="00FE2A3E" w:rsidRDefault="00000000">
      <w:pPr>
        <w:keepNext/>
        <w:spacing w:before="280" w:after="80"/>
        <w:rPr>
          <w:color w:val="000000" w:themeColor="text1"/>
          <w:lang w:val="es-ES"/>
        </w:rPr>
      </w:pPr>
      <w:r w:rsidRPr="00FE2A3E">
        <w:rPr>
          <w:rFonts w:ascii="Arial" w:hAnsi="Arial"/>
          <w:b/>
          <w:color w:val="000000" w:themeColor="text1"/>
          <w:sz w:val="26"/>
          <w:lang w:val="es-ES"/>
        </w:rPr>
        <w:t>5. Oportunidades para Mejorar la Experiencia del Cliente y Reducir la Pérdida</w:t>
      </w:r>
    </w:p>
    <w:p w14:paraId="0CA14933" w14:textId="77777777" w:rsidR="004124F2" w:rsidRPr="00FE2A3E" w:rsidRDefault="00000000">
      <w:pPr>
        <w:spacing w:after="120"/>
        <w:rPr>
          <w:color w:val="000000" w:themeColor="text1"/>
          <w:lang w:val="es-ES"/>
        </w:rPr>
      </w:pPr>
      <w:r w:rsidRPr="00FE2A3E">
        <w:rPr>
          <w:rFonts w:ascii="Arial" w:hAnsi="Arial"/>
          <w:color w:val="000000" w:themeColor="text1"/>
          <w:sz w:val="20"/>
          <w:lang w:val="es-ES"/>
        </w:rPr>
        <w:t>A partir de los hallazgos analíticos, se identifican oportunidades de mejora directa para optimizar la experiencia del cliente (CX) y disminuir la deserción:</w:t>
      </w:r>
    </w:p>
    <w:p w14:paraId="2281D510"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Implementación de Alertas de Vencimiento Automatizadas: </w:t>
      </w:r>
      <w:r w:rsidRPr="00FE2A3E">
        <w:rPr>
          <w:color w:val="000000" w:themeColor="text1"/>
          <w:sz w:val="20"/>
          <w:lang w:val="es-ES"/>
        </w:rPr>
        <w:t>Diseñar un sistema de notificaciones vía correo y SMS a los 30, 15 y 5 días previos al vencimiento de la póliza para mitigar la no renovación por olvido.</w:t>
      </w:r>
    </w:p>
    <w:p w14:paraId="69D78EBE"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Programa de </w:t>
      </w:r>
      <w:proofErr w:type="spellStart"/>
      <w:r w:rsidRPr="00FE2A3E">
        <w:rPr>
          <w:b/>
          <w:color w:val="000000" w:themeColor="text1"/>
          <w:sz w:val="20"/>
          <w:lang w:val="es-ES"/>
        </w:rPr>
        <w:t>Onboarding</w:t>
      </w:r>
      <w:proofErr w:type="spellEnd"/>
      <w:r w:rsidRPr="00FE2A3E">
        <w:rPr>
          <w:b/>
          <w:color w:val="000000" w:themeColor="text1"/>
          <w:sz w:val="20"/>
          <w:lang w:val="es-ES"/>
        </w:rPr>
        <w:t xml:space="preserve"> y Fidelización Temprana: </w:t>
      </w:r>
      <w:r w:rsidRPr="00FE2A3E">
        <w:rPr>
          <w:color w:val="000000" w:themeColor="text1"/>
          <w:sz w:val="20"/>
          <w:lang w:val="es-ES"/>
        </w:rPr>
        <w:t>Crear incentivos de acompañamiento durante los primeros 12 meses del cliente en el Ramo 1243 para reducir la alta tasa de abandono temprano.</w:t>
      </w:r>
    </w:p>
    <w:p w14:paraId="0D8BF741"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Campañas de Rescate Personalizadas para Clientes Inactivos: </w:t>
      </w:r>
      <w:r w:rsidRPr="00FE2A3E">
        <w:rPr>
          <w:color w:val="000000" w:themeColor="text1"/>
          <w:sz w:val="20"/>
          <w:lang w:val="es-ES"/>
        </w:rPr>
        <w:t>Utilizar la lista estructurada de los 7 clientes inactivos recientes para ofrecerles planes de reactivación con beneficios flexibles y escuchar sus motivos de salida.</w:t>
      </w:r>
    </w:p>
    <w:p w14:paraId="4D991F20" w14:textId="77777777" w:rsidR="004124F2" w:rsidRPr="00FE2A3E" w:rsidRDefault="00000000">
      <w:pPr>
        <w:pStyle w:val="Listaconvietas"/>
        <w:spacing w:after="60"/>
        <w:rPr>
          <w:color w:val="000000" w:themeColor="text1"/>
          <w:lang w:val="es-ES"/>
        </w:rPr>
      </w:pPr>
      <w:r w:rsidRPr="00FE2A3E">
        <w:rPr>
          <w:b/>
          <w:color w:val="000000" w:themeColor="text1"/>
          <w:sz w:val="20"/>
          <w:lang w:val="es-ES"/>
        </w:rPr>
        <w:t xml:space="preserve">Flexibilización de Formas de Pago: </w:t>
      </w:r>
      <w:r w:rsidRPr="00FE2A3E">
        <w:rPr>
          <w:color w:val="000000" w:themeColor="text1"/>
          <w:sz w:val="20"/>
          <w:lang w:val="es-ES"/>
        </w:rPr>
        <w:t>Revisar las opciones de pago en los periodos de mayor tensión financiera (primer trimestre) para evitar bajas masivas por falta de liquidez puntual.</w:t>
      </w:r>
    </w:p>
    <w:sectPr w:rsidR="004124F2" w:rsidRPr="00FE2A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15344">
    <w:abstractNumId w:val="8"/>
  </w:num>
  <w:num w:numId="2" w16cid:durableId="289091635">
    <w:abstractNumId w:val="6"/>
  </w:num>
  <w:num w:numId="3" w16cid:durableId="1338265710">
    <w:abstractNumId w:val="5"/>
  </w:num>
  <w:num w:numId="4" w16cid:durableId="2095083261">
    <w:abstractNumId w:val="4"/>
  </w:num>
  <w:num w:numId="5" w16cid:durableId="961494633">
    <w:abstractNumId w:val="7"/>
  </w:num>
  <w:num w:numId="6" w16cid:durableId="1619990809">
    <w:abstractNumId w:val="3"/>
  </w:num>
  <w:num w:numId="7" w16cid:durableId="1603370688">
    <w:abstractNumId w:val="2"/>
  </w:num>
  <w:num w:numId="8" w16cid:durableId="7221471">
    <w:abstractNumId w:val="1"/>
  </w:num>
  <w:num w:numId="9" w16cid:durableId="133464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4F2"/>
    <w:rsid w:val="00AA1D8D"/>
    <w:rsid w:val="00B47730"/>
    <w:rsid w:val="00CB0664"/>
    <w:rsid w:val="00FC549E"/>
    <w:rsid w:val="00FC693F"/>
    <w:rsid w:val="00FE2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D03A3"/>
  <w14:defaultImageDpi w14:val="300"/>
  <w15:docId w15:val="{38AA2697-712D-4D42-938B-64A4951D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 Mendieta, Cristian Camilo (ALLIANZ COLOMBIA)</cp:lastModifiedBy>
  <cp:revision>2</cp:revision>
  <dcterms:created xsi:type="dcterms:W3CDTF">2013-12-23T23:15:00Z</dcterms:created>
  <dcterms:modified xsi:type="dcterms:W3CDTF">2026-07-31T16:30:00Z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2026-07-31T16:25:19Z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b764dd08-330f-467a-a1c4-03d2c908f2cf</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