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hd w:fill="ffffff" w:val="clear"/>
        <w:spacing w:after="0" w:before="0" w:lineRule="auto"/>
        <w:jc w:val="center"/>
        <w:rPr>
          <w:rFonts w:ascii="Roboto" w:cs="Roboto" w:eastAsia="Roboto" w:hAnsi="Roboto"/>
          <w:b w:val="1"/>
          <w:bCs w:val="1"/>
          <w:color w:val="202124"/>
          <w:sz w:val="48"/>
          <w:szCs w:val="48"/>
        </w:rPr>
      </w:pPr>
      <w:bookmarkStart w:colFirst="0" w:colLast="0" w:name="_6acvjas6gp1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48"/>
          <w:szCs w:val="48"/>
          <w:rtl w:val="0"/>
        </w:rPr>
        <w:t xml:space="preserve">Investigación compromisos ASG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right="-466.062992125984"/>
        <w:rPr>
          <w:b w:val="1"/>
          <w:bCs w:val="1"/>
        </w:rPr>
      </w:pPr>
      <w:bookmarkStart w:colFirst="0" w:colLast="0" w:name="_gg8tqz3iysyc" w:id="1"/>
      <w:bookmarkEnd w:id="1"/>
      <w:r w:rsidDel="00000000" w:rsidR="00000000" w:rsidRPr="00000000">
        <w:rPr>
          <w:b w:val="1"/>
          <w:bCs w:val="1"/>
          <w:rtl w:val="0"/>
        </w:rPr>
        <w:t xml:space="preserve">Investigación de los compromisos ASG en estas empresas:</w:t>
      </w:r>
    </w:p>
    <w:tbl>
      <w:tblPr>
        <w:tblStyle w:val="Table1"/>
        <w:tblW w:w="11655.0" w:type="dxa"/>
        <w:jc w:val="left"/>
        <w:tblInd w:w="-1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625"/>
        <w:gridCol w:w="2520"/>
        <w:gridCol w:w="2295"/>
        <w:gridCol w:w="2175"/>
        <w:tblGridChange w:id="0">
          <w:tblGrid>
            <w:gridCol w:w="2040"/>
            <w:gridCol w:w="2625"/>
            <w:gridCol w:w="2520"/>
            <w:gridCol w:w="2295"/>
            <w:gridCol w:w="2175"/>
          </w:tblGrid>
        </w:tblGridChange>
      </w:tblGrid>
      <w:tr>
        <w:trPr>
          <w:cantSplit w:val="0"/>
          <w:trHeight w:val="825.9375" w:hRule="atLeast"/>
          <w:tblHeader w:val="0"/>
        </w:trPr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Empresas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Servicios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Ambiental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Social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Gobernanza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Grupo social ONCE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Loterías sociales, empleo e inclusión de personas discapacitadas.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Reducción de consumo energético y residuos, uso de vehículos eléctricos y uso de energías renovables.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Inclusión laboral de personas discapacitadas, programas de educación, accesibilidad y voluntariado.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Códigos éticos, auditorías externas, transparencia y cumplimiento de las normativas.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American Water Works Company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Agua potable y tratamiento de las aguas residuales en EE.UU.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Reducción de GEI, eficiencia hídrica, resiliencia climática e innovación tecnológica.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Diversidad e inclusión laboral; donaciones y becas; programas de responsabilidad social.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Consejo independiente, informes transparentes, código ético y política anticorrupción.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Heineken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Producción/ distribución de cerveza y bebidas.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Mayoritariamente emplean el uso de electricidad renovable, economía circular, neutralidad de carbono.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Formación juvenil; consumo responsable; apoyo a comunidades y agricultura sostenible.</w:t>
            </w:r>
          </w:p>
        </w:tc>
        <w:tc>
          <w:tcPr>
            <w:tcBorders>
              <w:top w:color="202124" w:space="0" w:sz="12" w:val="single"/>
              <w:left w:color="202124" w:space="0" w:sz="12" w:val="single"/>
              <w:bottom w:color="202124" w:space="0" w:sz="12" w:val="single"/>
              <w:right w:color="202124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Comité de sostenibilidad; igualdad de género; informes auditados y políticas de integridad.</w:t>
            </w:r>
          </w:p>
        </w:tc>
      </w:tr>
    </w:tbl>
    <w:p w:rsidR="00000000" w:rsidDel="00000000" w:rsidP="00000000" w:rsidRDefault="00000000" w:rsidRPr="00000000" w14:paraId="00000018">
      <w:pPr>
        <w:pStyle w:val="Title"/>
        <w:jc w:val="left"/>
        <w:rPr>
          <w:sz w:val="50"/>
          <w:szCs w:val="50"/>
        </w:rPr>
      </w:pPr>
      <w:bookmarkStart w:colFirst="0" w:colLast="0" w:name="_i7v0v3o1a72u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