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829B"/>
        </w:rPr>
        <w:t>Validación Técnica del Motor Financiero IFRS 16</w:t>
      </w:r>
    </w:p>
    <w:p>
      <w:pPr>
        <w:pStyle w:val="Subtitle"/>
      </w:pPr>
      <w:r>
        <w:t>Documento dirigido a Auditores Externos y Revisores de Cumplimiento Normativo</w:t>
      </w:r>
    </w:p>
    <w:p>
      <w:r>
        <w:t xml:space="preserve">Este documento detalla la arquitectura, metodología de cálculo y el entorno de control interno implementado en el sistema Mundo 16, demostrando su estricto apego y cumplimiento a la normativa contable </w:t>
      </w:r>
      <w:r>
        <w:rPr>
          <w:b/>
        </w:rPr>
        <w:t>NIIF 16 (Arrendamientos)</w:t>
      </w:r>
      <w:r>
        <w:t xml:space="preserve"> y su interacción con la </w:t>
      </w:r>
      <w:r>
        <w:rPr>
          <w:b/>
        </w:rPr>
        <w:t>NIC 21 (Efectos de las Variaciones en las Tasas de Cambio de la Moneda Extranjera)</w:t>
      </w:r>
      <w:r>
        <w:t>.</w:t>
      </w:r>
    </w:p>
    <w:p>
      <w:pPr>
        <w:pStyle w:val="Heading1"/>
      </w:pPr>
      <w:r>
        <w:rPr>
          <w:color w:val="000000"/>
        </w:rPr>
        <w:t>1. Alcance y Objetivos de la Plataforma</w:t>
      </w:r>
    </w:p>
    <w:p>
      <w:r>
        <w:t>El software automatiza el ciclo de vida contable completo de los arrendamientos donde la compañía actúa como arrendatario:</w:t>
      </w:r>
    </w:p>
    <w:p>
      <w:pPr>
        <w:pStyle w:val="ListBullet"/>
      </w:pPr>
      <w:r/>
      <w:r>
        <w:rPr>
          <w:b/>
        </w:rPr>
        <w:t>Reconocimiento y Medición Inicial.</w:t>
      </w:r>
      <w:r/>
    </w:p>
    <w:p>
      <w:pPr>
        <w:pStyle w:val="ListBullet"/>
      </w:pPr>
      <w:r/>
      <w:r>
        <w:rPr>
          <w:b/>
        </w:rPr>
        <w:t>Medición Posterior (Devengo de intereses, pagos de capital y amortización).</w:t>
      </w:r>
      <w:r/>
    </w:p>
    <w:p>
      <w:pPr>
        <w:pStyle w:val="ListBullet"/>
      </w:pPr>
      <w:r/>
      <w:r>
        <w:rPr>
          <w:b/>
        </w:rPr>
        <w:t>Remediciones, Modificaciones y Terminos Anticipados de Contrato.</w:t>
      </w:r>
      <w:r/>
    </w:p>
    <w:p>
      <w:pPr>
        <w:pStyle w:val="ListBullet"/>
      </w:pPr>
      <w:r/>
      <w:r>
        <w:rPr>
          <w:b/>
        </w:rPr>
        <w:t>Manejo Multidivisa (CLP, UF, USD, EUR) y Cuadratura Contable Dúplex.</w:t>
      </w:r>
      <w:r/>
    </w:p>
    <w:p>
      <w:pPr>
        <w:pStyle w:val="Heading1"/>
      </w:pPr>
      <w:r>
        <w:rPr>
          <w:color w:val="000000"/>
        </w:rPr>
        <w:t>2. Metodología de Cálculo y Reconocimiento Inicial</w:t>
      </w:r>
    </w:p>
    <w:p>
      <w:r>
        <w:t>El motor financiero (implementado vectorialmente vía Pandas/NumPy para exactitud al céntimo) construye el pasivo y el activo por derecho de uso al inicio del contrato.</w:t>
      </w:r>
    </w:p>
    <w:p>
      <w:pPr>
        <w:pStyle w:val="Heading2"/>
      </w:pPr>
      <w:r>
        <w:t>A. Reconocimiento del Pasivo por Arrendamiento (NIIF 16 - Párrafo 26)</w:t>
      </w:r>
    </w:p>
    <w:p>
      <w:r>
        <w:t>El sistema calcula el Valor Presente (VP) de los pagos de arrendamiento no pagados en la fecha de comienzo.</w:t>
      </w:r>
    </w:p>
    <w:p>
      <w:pPr>
        <w:pStyle w:val="ListBullet"/>
      </w:pPr>
      <w:r/>
      <w:r>
        <w:rPr>
          <w:b/>
        </w:rPr>
        <w:t>Fórmula Base (Flujo de Caja Descontado):</w:t>
      </w:r>
      <w:r>
        <w:t xml:space="preserve"> Utiliza la tasa incremental por préstamos (Tasa Mensual Equivalente) ingresada por el usuario.</w:t>
      </w:r>
    </w:p>
    <w:p>
      <w:pPr>
        <w:pStyle w:val="ListBullet"/>
      </w:pPr>
      <w:r/>
      <w:r>
        <w:rPr>
          <w:b/>
        </w:rPr>
        <w:t>Pagos Fijos y en Esencia Fijos:</w:t>
      </w:r>
      <w:r>
        <w:t xml:space="preserve"> Proyectados sobre el Plazo de Arrendamiento (incluyendo opciones de prolongación o terminación con certeza razonable).</w:t>
      </w:r>
    </w:p>
    <w:p>
      <w:pPr>
        <w:pStyle w:val="ListBullet"/>
      </w:pPr>
      <w:r/>
      <w:r>
        <w:rPr>
          <w:b/>
        </w:rPr>
        <w:t>Periodicidad y Modelamiento:</w:t>
      </w:r>
      <w:r>
        <w:t xml:space="preserve"> Evalúa cuotas bajo modalidad lógica de Pago Anticipado (descuento $t$) o Pago Vencido (descuento $t-1$).</w:t>
      </w:r>
    </w:p>
    <w:p>
      <w:pPr>
        <w:pStyle w:val="Heading2"/>
      </w:pPr>
      <w:r>
        <w:t>B. Reconocimiento del Activo por Derecho de Uso (ROU) (NIIF 16 - Párrafo 24)</w:t>
      </w:r>
    </w:p>
    <w:p>
      <w:r>
        <w:t>La medición inicial de la partida del activo (ROU) incorpora los componentes requeridos:</w:t>
      </w:r>
    </w:p>
    <w:p>
      <w:r>
        <w:rPr>
          <w:i/>
        </w:rPr>
        <w:t>Costo ROU = *Valor Presente del Pasivo* + *Pagos de Arrendamientos Anticipados* + *Costos Directos Iniciales* + *Costos de Desmantelamiento y Restauración* - *Incentivos Recibidos* + *Ajustes Manuales de ROU (si aplica)*</w:t>
      </w:r>
    </w:p>
    <w:p>
      <w:pPr>
        <w:pStyle w:val="Heading1"/>
      </w:pPr>
      <w:r>
        <w:rPr>
          <w:color w:val="000000"/>
        </w:rPr>
        <w:t>3. Medición Posterior</w:t>
      </w:r>
    </w:p>
    <w:p>
      <w:r>
        <w:t>La proyección a lo largo del tiempo se genera mensualmente usando el método del interés efectivo.</w:t>
      </w:r>
    </w:p>
    <w:p>
      <w:pPr>
        <w:pStyle w:val="Heading2"/>
      </w:pPr>
      <w:r>
        <w:t>A. Pasivo por Arrendamiento</w:t>
      </w:r>
    </w:p>
    <w:p>
      <w:r>
        <w:t>Se mide incrementando el valor en libros para reflejar el interés y reduciendo el saldo por los cánones o cuotas de arrendamiento realizadas.</w:t>
      </w:r>
    </w:p>
    <w:p>
      <w:pPr>
        <w:pStyle w:val="ListBullet"/>
      </w:pPr>
      <w:r/>
      <w:r>
        <w:rPr>
          <w:b/>
        </w:rPr>
        <w:t>Ecuación Contable:</w:t>
      </w:r>
      <w:r>
        <w:t xml:space="preserve"> `Saldo_Final = Saldo_Inicial + Interés - Pago_Período`</w:t>
      </w:r>
    </w:p>
    <w:p>
      <w:pPr>
        <w:pStyle w:val="ListBullet"/>
      </w:pPr>
      <w:r/>
      <w:r>
        <w:rPr>
          <w:b/>
        </w:rPr>
        <w:t>Ajuste Centesimal Obligatorio (Plug):</w:t>
      </w:r>
      <w:r>
        <w:t xml:space="preserve"> En la última cuota, el algoritmo empuja el delta o residuo decimal contra la cuota de capital, forzando matemáticamente que el valor residual del pasivo sea exactamente `0.00`. Este blindaje evita descuadraturas residuales arrastradas al cierre.</w:t>
      </w:r>
    </w:p>
    <w:p>
      <w:pPr>
        <w:pStyle w:val="Heading2"/>
      </w:pPr>
      <w:r>
        <w:t>B. Depreciación del Activo ROU</w:t>
      </w:r>
    </w:p>
    <w:p>
      <w:r>
        <w:t>El activo se amortiza de manera sistemática:</w:t>
      </w:r>
    </w:p>
    <w:p>
      <w:pPr>
        <w:pStyle w:val="ListBullet"/>
      </w:pPr>
      <w:r/>
      <w:r>
        <w:rPr>
          <w:b/>
        </w:rPr>
        <w:t>Modelo Base:</w:t>
      </w:r>
      <w:r>
        <w:t xml:space="preserve"> El sistema amortiza en línea recta durante el plazo de arrendamiento (desde el mes 1 hasta la fecha de fin o de ejercer la opción).</w:t>
      </w:r>
    </w:p>
    <w:p>
      <w:pPr>
        <w:pStyle w:val="ListBullet"/>
      </w:pPr>
      <w:r/>
      <w:r>
        <w:rPr>
          <w:b/>
        </w:rPr>
        <w:t>Cálculo de Cuota:</w:t>
      </w:r>
      <w:r>
        <w:t xml:space="preserve"> `Valor Neto a Amortizar / Plazo Restante Vigente`.</w:t>
      </w:r>
    </w:p>
    <w:p>
      <w:pPr>
        <w:pStyle w:val="Heading1"/>
      </w:pPr>
      <w:r>
        <w:rPr>
          <w:color w:val="000000"/>
        </w:rPr>
        <w:t>4. Remediciones y Modificaciones de Contratos (NIIF 16 - Párrafos 39 a 46)</w:t>
      </w:r>
    </w:p>
    <w:p>
      <w:r>
        <w:t>Cualquier evento que altere la estructura original (Renegociaciones, prórrogas, ajustes por IPC superior al esperado, aumentos/disminuciones de metraje) se traza como un bloque de Remedición, originando correcciones prospectivas (hacia adelante).</w:t>
      </w:r>
    </w:p>
    <w:p>
      <w:pPr>
        <w:pStyle w:val="Heading2"/>
      </w:pPr>
      <w:r>
        <w:t>A. Ajuste de Cánones o Modificación en Plazos</w:t>
      </w:r>
    </w:p>
    <w:p>
      <w:r>
        <w:t>Se recalcula un Nuevo Valor Presente para los flujos restantes desde la "Fecha de Remedición" a la nueva tasa de descuento.</w:t>
      </w:r>
    </w:p>
    <w:p>
      <w:pPr>
        <w:pStyle w:val="ListBullet"/>
      </w:pPr>
      <w:r/>
      <w:r>
        <w:rPr>
          <w:b/>
        </w:rPr>
        <w:t>Ajuste ROU:</w:t>
      </w:r>
      <w:r>
        <w:t xml:space="preserve"> La diferencia entre el `Nuevo Pasivo` vs `Antiguo Pasivo` en CLP se carga o abona exactamente al Activo ROU correspondiente (No pasa por Estado de Resultados P&amp;L).</w:t>
      </w:r>
    </w:p>
    <w:p>
      <w:pPr>
        <w:pStyle w:val="Heading2"/>
      </w:pPr>
      <w:r>
        <w:t>B. Terminaciones Parciales y Modificaciones Decrecientes</w:t>
      </w:r>
    </w:p>
    <w:p>
      <w:r>
        <w:t>Si el espacio arrendado o el plazo original son reducidos abruptamente debido a una cancelación sobre porciones del ROU:</w:t>
      </w:r>
    </w:p>
    <w:p>
      <w:r>
        <w:t>1. Se decrementan equitativamente el Pasivo Arrendamiento y el Activo ROU.</w:t>
      </w:r>
    </w:p>
    <w:p>
      <w:r>
        <w:t xml:space="preserve">2. Si el cálculo en Moneda Base (ej. CLP a la fecha de modificación) revela un diferencial entre los montos reducidos de Pasivos y Activos ROU, </w:t>
      </w:r>
      <w:r>
        <w:rPr>
          <w:b/>
        </w:rPr>
        <w:t>el diferencial es reconocido en Estado de Resultados P&amp;L</w:t>
      </w:r>
      <w:r>
        <w:t xml:space="preserve"> explícitamente a través del generador automático de asientos contables.</w:t>
      </w:r>
    </w:p>
    <w:p>
      <w:pPr>
        <w:pStyle w:val="Heading1"/>
      </w:pPr>
      <w:r>
        <w:rPr>
          <w:color w:val="000000"/>
        </w:rPr>
        <w:t>5. Exigencias Multimoneda e Interacciones Transversales NIC 21</w:t>
      </w:r>
    </w:p>
    <w:p>
      <w:r>
        <w:t xml:space="preserve">Para evitar distorsiones con divisas fluctuantes (USD, EUR) y la unidad de fomento (UF), se asegura la división contable en </w:t>
      </w:r>
      <w:r>
        <w:rPr>
          <w:b/>
        </w:rPr>
        <w:t>Activos No Monetarios</w:t>
      </w:r>
      <w:r>
        <w:t xml:space="preserve"> contra </w:t>
      </w:r>
      <w:r>
        <w:rPr>
          <w:b/>
        </w:rPr>
        <w:t>Pasivos Monetarios</w:t>
      </w:r>
      <w:r>
        <w:t>.</w:t>
      </w:r>
    </w:p>
    <w:p>
      <w:pPr>
        <w:pStyle w:val="ListBullet"/>
      </w:pPr>
      <w:r/>
      <w:r>
        <w:rPr>
          <w:b/>
        </w:rPr>
        <w:t>Cuentas de Pasivos Monetarios (Obligación de pago):</w:t>
      </w:r>
      <w:r>
        <w:t xml:space="preserve"> El saldo acreedor se actualiza y consolida mes a mes con la </w:t>
      </w:r>
      <w:r>
        <w:rPr>
          <w:b/>
        </w:rPr>
        <w:t>Tasa de Cierre (spot)</w:t>
      </w:r>
      <w:r>
        <w:t xml:space="preserve"> de la fecha actual de los estados financieros. Esta evolución monetaria liquida el ajuste como "Diferencia de Cambio" o "Restatement de Indexación" al P&amp;L (Cuenta Resultado).</w:t>
      </w:r>
    </w:p>
    <w:p>
      <w:pPr>
        <w:pStyle w:val="ListBullet"/>
      </w:pPr>
      <w:r/>
      <w:r>
        <w:rPr>
          <w:b/>
        </w:rPr>
        <w:t>Activo ROU No Monetario (Costo Histórico Bloqueado):</w:t>
      </w:r>
      <w:r>
        <w:t xml:space="preserve"> El momento del alta inicial fija la valoración usando la tasa "TC Inicial" del contrato. La amortización y del saldo en libros continúan reflejándose irrevocablemente a </w:t>
      </w:r>
      <w:r>
        <w:rPr>
          <w:b/>
        </w:rPr>
        <w:t>valor costo histórico</w:t>
      </w:r>
      <w:r>
        <w:t>, en la moneda funcional, sin sufrir el vaivén del TC.</w:t>
      </w:r>
    </w:p>
    <w:p>
      <w:r>
        <w:t>(El sistema previene errores de offset del Tipo de Cambio usando el TC exacto correlacionado al mes de arranque en la primera cuota amortizada).</w:t>
      </w:r>
    </w:p>
    <w:p>
      <w:pPr>
        <w:pStyle w:val="Heading1"/>
      </w:pPr>
      <w:r>
        <w:rPr>
          <w:color w:val="000000"/>
        </w:rPr>
        <w:t>6. Generación de Cierres Contables e Integridad Relacional</w:t>
      </w:r>
    </w:p>
    <w:p>
      <w:r>
        <w:t>El módulo de "Asientos Contables" procesa mensualmente la información para volcarla al ERP, validando una Estructura Doble (Partida Doble) en todos sus asientos. El set de asientos es el siguiente:</w:t>
      </w:r>
    </w:p>
    <w:p>
      <w:pPr>
        <w:pStyle w:val="ListBullet"/>
      </w:pPr>
      <w:r/>
      <w:r>
        <w:rPr>
          <w:b/>
        </w:rPr>
        <w:t>1. Reconocimiento Inicial:</w:t>
      </w:r>
      <w:r>
        <w:t xml:space="preserve"> `ROU (Debe) contra Pasivo (Haber) + Plug Cuenta Ajuste/Banco`</w:t>
      </w:r>
    </w:p>
    <w:p>
      <w:pPr>
        <w:pStyle w:val="ListBullet"/>
      </w:pPr>
      <w:r/>
      <w:r>
        <w:rPr>
          <w:b/>
        </w:rPr>
        <w:t>2. Depreciación:</w:t>
      </w:r>
      <w:r>
        <w:t xml:space="preserve"> `Gasto Amortización ROU (Debe) contra Amortización Acumulada ROU (Haber)` medida enteramente al Costo Histórico.</w:t>
      </w:r>
    </w:p>
    <w:p>
      <w:pPr>
        <w:pStyle w:val="ListBullet"/>
      </w:pPr>
      <w:r/>
      <w:r>
        <w:rPr>
          <w:b/>
        </w:rPr>
        <w:t>3. Pagos / Intereses:</w:t>
      </w:r>
      <w:r>
        <w:t xml:space="preserve"> `Pasivo / Interés Financiero (Debe) contra Bancos, Acreedores o Caja (Haber)`. Calculado a la spot TC actual.</w:t>
      </w:r>
    </w:p>
    <w:p>
      <w:pPr>
        <w:pStyle w:val="ListBullet"/>
      </w:pPr>
      <w:r/>
      <w:r>
        <w:rPr>
          <w:b/>
        </w:rPr>
        <w:t>4. Diferencia de Variación Cambiaria (IFRS/NIC21):</w:t>
      </w:r>
      <w:r>
        <w:t xml:space="preserve"> El algoritmo cuadra las diferencias y ubica el diferencial contable a cuentas de ganancia por TC o perdidas por TC mes a mes de forma consolidada, sumando o restando el Pasivo.</w:t>
      </w:r>
    </w:p>
    <w:p>
      <w:pPr>
        <w:pStyle w:val="Heading1"/>
      </w:pPr>
      <w:r>
        <w:rPr>
          <w:color w:val="000000"/>
        </w:rPr>
        <w:t>7. Módulo de Trazabilidad y Bitácora de Auditoría Fuerte</w:t>
      </w:r>
    </w:p>
    <w:p>
      <w:r>
        <w:t>Finalmente, la plataforma ha sido estructurada a nivel back-end con un sistema Opt-in de auditorías para asegurar el control de cambios en la matriz financiera.</w:t>
      </w:r>
    </w:p>
    <w:p>
      <w:pPr>
        <w:pStyle w:val="ListBullet"/>
      </w:pPr>
      <w:r/>
      <w:r>
        <w:rPr>
          <w:b/>
        </w:rPr>
        <w:t>Log Inmutable SQLite:</w:t>
      </w:r>
      <w:r>
        <w:t xml:space="preserve"> Toda alteración a los parámetros bases (Inicio, Fin, Tasas, montos, plazos) es serializada, indexada por usuario local o PC subyacente y con timbraje de hora `Timestamp`.</w:t>
      </w:r>
    </w:p>
    <w:p>
      <w:pPr>
        <w:pStyle w:val="ListBullet"/>
      </w:pPr>
      <w:r/>
      <w:r>
        <w:rPr>
          <w:b/>
        </w:rPr>
        <w:t>Verificabilidad Ex-Post (Test of Controls):</w:t>
      </w:r>
      <w:r>
        <w:t xml:space="preserve"> Los auditores e inspectores podrán auditar directamente en el panel histórico cualquier rastro desde la modificación de valores base hasta el borrado de contratos o la creación de notas finales.</w:t>
      </w:r>
    </w:p>
    <w:p>
      <w:r>
        <w:t>Fin Documento Orientativo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