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Validación de Saldos ROU y Amortización NIIF 16</w:t>
      </w:r>
    </w:p>
    <w:p>
      <w:r>
        <w:t xml:space="preserve">Contrato: </w:t>
      </w:r>
      <w:r>
        <w:rPr>
          <w:b/>
        </w:rPr>
        <w:t>CNT-HOL-0008</w:t>
      </w:r>
    </w:p>
    <w:p>
      <w:r>
        <w:t xml:space="preserve">Empresa: </w:t>
      </w:r>
      <w:r>
        <w:rPr>
          <w:b/>
        </w:rPr>
        <w:t>Holdco</w:t>
      </w:r>
    </w:p>
    <w:p>
      <w:pPr>
        <w:pStyle w:val="Heading1"/>
      </w:pPr>
      <w:r>
        <w:t>1. Parámetros Base del Contrato</w:t>
      </w:r>
    </w:p>
    <w:p>
      <w:r>
        <w:t>Plazo Total: 272 meses</w:t>
      </w:r>
    </w:p>
    <w:p>
      <w:r>
        <w:t>Fecha Inicio: 01-09-2013</w:t>
      </w:r>
    </w:p>
    <w:p>
      <w:r>
        <w:t>Depreciación Mensual Origen (Línea Recta): 138,5112 UF/mes</w:t>
      </w:r>
    </w:p>
    <w:p>
      <w:pPr>
        <w:pStyle w:val="Heading1"/>
      </w:pPr>
      <w:r>
        <w:t>2. Explicación Matemática de la Remedición</w:t>
      </w:r>
    </w:p>
    <w:p>
      <w:r>
        <w:t>La NIIF 16 (Párrafo 42) exige que, cuando los flujos de un contrato varíen por efecto de un índice (como la UF en Chile), se debe remedir el Pasivo y hacer un ajuste correspondiente al Activo por Derecho de Uso (ROU). A partir de ese momento, el Activo ROU reajustado debe depreciarse durante el plazo restante.</w:t>
      </w:r>
    </w:p>
    <w:p>
      <w:r>
        <w:t>Conceptualmente, el cálculo ortodoxo ("Camino Largo") implica:</w:t>
      </w:r>
    </w:p>
    <w:p>
      <w:pPr>
        <w:pStyle w:val="ListBullet"/>
      </w:pPr>
      <w:r>
        <w:t>Paso 1: Determinar el Saldo ROU Neto Restante en UF (Cuota Origen × Meses Restantes).</w:t>
      </w:r>
    </w:p>
    <w:p>
      <w:pPr>
        <w:pStyle w:val="ListBullet"/>
      </w:pPr>
      <w:r>
        <w:t>Paso 2: Valorizar ese saldo a la nueva UF del mes (Saldo en UF × UF de Cierre) para obtener el nuevo ROU en CLP.</w:t>
      </w:r>
    </w:p>
    <w:p>
      <w:pPr>
        <w:pStyle w:val="ListBullet"/>
      </w:pPr>
      <w:r>
        <w:t>Paso 3: Dividir el nuevo ROU en CLP por los Meses Restantes para obtener la nueva Cuota de Depreciación en CLP.</w:t>
      </w:r>
    </w:p>
    <w:p>
      <w:r>
        <w:t>Sin embargo, al formular este proceso algebraicamente se obtiene la siguiente ecuación:</w:t>
      </w:r>
    </w:p>
    <w:p>
      <w:r>
        <w:rPr>
          <w:b/>
        </w:rPr>
        <w:t>Nueva Depreciación CLP = (Cuota Origen UF × Meses Restantes × UF Cierre) / Meses Restantes</w:t>
      </w:r>
    </w:p>
    <w:p>
      <w:r>
        <w:t>Como la variable "Meses Restantes" se encuentra multiplicando en el numerador y dividiendo en el denominador, esta se anula matemáticamente, resultando en una ecuación simplificada:</w:t>
      </w:r>
    </w:p>
    <w:p>
      <w:r>
        <w:rPr>
          <w:b/>
        </w:rPr>
        <w:t>Nueva Depreciación CLP = Cuota Origen UF × UF Cierre</w:t>
      </w:r>
    </w:p>
    <w:p>
      <w:r>
        <w:rPr>
          <w:i/>
        </w:rPr>
        <w:t>El Software IFRS 16 Pro utiliza esta simplificación ("Camino Corto") en su algoritmo base. Esto le permite reconocer en los registros contables el efecto económico exacto exigido por la NIIF 16, sin la necesidad de fragmentar la base de datos con asientos de remedición manuales todos los meses.</w:t>
      </w:r>
    </w:p>
    <w:p>
      <w:pPr>
        <w:pStyle w:val="Heading1"/>
      </w:pPr>
      <w:r>
        <w:t>3. Demostración Matemática: 'Camino Largo' vs 'Camino Corto' (Ene - Abr 2026)</w:t>
      </w:r>
    </w:p>
    <w:p>
      <w:pPr>
        <w:pStyle w:val="Heading2"/>
      </w:pPr>
      <w:r>
        <w:t>A) Camino Largo (Recalcular ROU Neto Total)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Mes (2026)</w:t>
            </w:r>
          </w:p>
        </w:tc>
        <w:tc>
          <w:tcPr>
            <w:tcW w:type="dxa" w:w="1440"/>
          </w:tcPr>
          <w:p>
            <w:r>
              <w:t>A. Meses Restantes</w:t>
            </w:r>
          </w:p>
        </w:tc>
        <w:tc>
          <w:tcPr>
            <w:tcW w:type="dxa" w:w="1440"/>
          </w:tcPr>
          <w:p>
            <w:r>
              <w:t>B. ROU Neto Restante (UF)</w:t>
            </w:r>
          </w:p>
        </w:tc>
        <w:tc>
          <w:tcPr>
            <w:tcW w:type="dxa" w:w="1440"/>
          </w:tcPr>
          <w:p>
            <w:r>
              <w:t>C. UF Cierre</w:t>
            </w:r>
          </w:p>
        </w:tc>
        <w:tc>
          <w:tcPr>
            <w:tcW w:type="dxa" w:w="1440"/>
          </w:tcPr>
          <w:p>
            <w:r>
              <w:t>D. ROU Neto Revaluado (CLP)</w:t>
            </w:r>
          </w:p>
        </w:tc>
        <w:tc>
          <w:tcPr>
            <w:tcW w:type="dxa" w:w="1440"/>
          </w:tcPr>
          <w:p>
            <w:r>
              <w:t>E. Depreciación Mes (D / A)</w:t>
            </w:r>
          </w:p>
        </w:tc>
      </w:tr>
      <w:tr>
        <w:tc>
          <w:tcPr>
            <w:tcW w:type="dxa" w:w="1440"/>
          </w:tcPr>
          <w:p>
            <w:r>
              <w:t>Enero</w:t>
            </w:r>
          </w:p>
        </w:tc>
        <w:tc>
          <w:tcPr>
            <w:tcW w:type="dxa" w:w="1440"/>
          </w:tcPr>
          <w:p>
            <w:r>
              <w:t>124</w:t>
            </w:r>
          </w:p>
        </w:tc>
        <w:tc>
          <w:tcPr>
            <w:tcW w:type="dxa" w:w="1440"/>
          </w:tcPr>
          <w:p>
            <w:r>
              <w:t>17,175.39</w:t>
            </w:r>
          </w:p>
        </w:tc>
        <w:tc>
          <w:tcPr>
            <w:tcW w:type="dxa" w:w="1440"/>
          </w:tcPr>
          <w:p>
            <w:r>
              <w:t>$39,706.07</w:t>
            </w:r>
          </w:p>
        </w:tc>
        <w:tc>
          <w:tcPr>
            <w:tcW w:type="dxa" w:w="1440"/>
          </w:tcPr>
          <w:p>
            <w:r>
              <w:t>$681,966,952</w:t>
            </w:r>
          </w:p>
        </w:tc>
        <w:tc>
          <w:tcPr>
            <w:tcW w:type="dxa" w:w="1440"/>
          </w:tcPr>
          <w:p>
            <w:r>
              <w:t>$5,499,733</w:t>
            </w:r>
          </w:p>
        </w:tc>
      </w:tr>
      <w:tr>
        <w:tc>
          <w:tcPr>
            <w:tcW w:type="dxa" w:w="1440"/>
          </w:tcPr>
          <w:p>
            <w:r>
              <w:t>Febrero</w:t>
            </w:r>
          </w:p>
        </w:tc>
        <w:tc>
          <w:tcPr>
            <w:tcW w:type="dxa" w:w="1440"/>
          </w:tcPr>
          <w:p>
            <w:r>
              <w:t>123</w:t>
            </w:r>
          </w:p>
        </w:tc>
        <w:tc>
          <w:tcPr>
            <w:tcW w:type="dxa" w:w="1440"/>
          </w:tcPr>
          <w:p>
            <w:r>
              <w:t>17,036.88</w:t>
            </w:r>
          </w:p>
        </w:tc>
        <w:tc>
          <w:tcPr>
            <w:tcW w:type="dxa" w:w="1440"/>
          </w:tcPr>
          <w:p>
            <w:r>
              <w:t>$39,790.63</w:t>
            </w:r>
          </w:p>
        </w:tc>
        <w:tc>
          <w:tcPr>
            <w:tcW w:type="dxa" w:w="1440"/>
          </w:tcPr>
          <w:p>
            <w:r>
              <w:t>$677,908,070</w:t>
            </w:r>
          </w:p>
        </w:tc>
        <w:tc>
          <w:tcPr>
            <w:tcW w:type="dxa" w:w="1440"/>
          </w:tcPr>
          <w:p>
            <w:r>
              <w:t>$5,511,448</w:t>
            </w:r>
          </w:p>
        </w:tc>
      </w:tr>
      <w:tr>
        <w:tc>
          <w:tcPr>
            <w:tcW w:type="dxa" w:w="1440"/>
          </w:tcPr>
          <w:p>
            <w:r>
              <w:t>Marzo</w:t>
            </w:r>
          </w:p>
        </w:tc>
        <w:tc>
          <w:tcPr>
            <w:tcW w:type="dxa" w:w="1440"/>
          </w:tcPr>
          <w:p>
            <w:r>
              <w:t>122</w:t>
            </w:r>
          </w:p>
        </w:tc>
        <w:tc>
          <w:tcPr>
            <w:tcW w:type="dxa" w:w="1440"/>
          </w:tcPr>
          <w:p>
            <w:r>
              <w:t>16,898.37</w:t>
            </w:r>
          </w:p>
        </w:tc>
        <w:tc>
          <w:tcPr>
            <w:tcW w:type="dxa" w:w="1440"/>
          </w:tcPr>
          <w:p>
            <w:r>
              <w:t>$39,841.72</w:t>
            </w:r>
          </w:p>
        </w:tc>
        <w:tc>
          <w:tcPr>
            <w:tcW w:type="dxa" w:w="1440"/>
          </w:tcPr>
          <w:p>
            <w:r>
              <w:t>$673,259,972</w:t>
            </w:r>
          </w:p>
        </w:tc>
        <w:tc>
          <w:tcPr>
            <w:tcW w:type="dxa" w:w="1440"/>
          </w:tcPr>
          <w:p>
            <w:r>
              <w:t>$5,518,524</w:t>
            </w:r>
          </w:p>
        </w:tc>
      </w:tr>
      <w:tr>
        <w:tc>
          <w:tcPr>
            <w:tcW w:type="dxa" w:w="1440"/>
          </w:tcPr>
          <w:p>
            <w:r>
              <w:t>Abril</w:t>
            </w:r>
          </w:p>
        </w:tc>
        <w:tc>
          <w:tcPr>
            <w:tcW w:type="dxa" w:w="1440"/>
          </w:tcPr>
          <w:p>
            <w:r>
              <w:t>121</w:t>
            </w:r>
          </w:p>
        </w:tc>
        <w:tc>
          <w:tcPr>
            <w:tcW w:type="dxa" w:w="1440"/>
          </w:tcPr>
          <w:p>
            <w:r>
              <w:t>16,759.86</w:t>
            </w:r>
          </w:p>
        </w:tc>
        <w:tc>
          <w:tcPr>
            <w:tcW w:type="dxa" w:w="1440"/>
          </w:tcPr>
          <w:p>
            <w:r>
              <w:t>$40,120.20</w:t>
            </w:r>
          </w:p>
        </w:tc>
        <w:tc>
          <w:tcPr>
            <w:tcW w:type="dxa" w:w="1440"/>
          </w:tcPr>
          <w:p>
            <w:r>
              <w:t>$672,408,801</w:t>
            </w:r>
          </w:p>
        </w:tc>
        <w:tc>
          <w:tcPr>
            <w:tcW w:type="dxa" w:w="1440"/>
          </w:tcPr>
          <w:p>
            <w:r>
              <w:t>$5,557,097</w:t>
            </w:r>
          </w:p>
        </w:tc>
      </w:tr>
    </w:tbl>
    <w:p>
      <w:pPr>
        <w:pStyle w:val="Heading2"/>
      </w:pPr>
      <w:r>
        <w:t>B) Camino Corto (Sistema IFRS 16 Pro)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Mes (2026)</w:t>
            </w:r>
          </w:p>
        </w:tc>
        <w:tc>
          <w:tcPr>
            <w:tcW w:type="dxa" w:w="1728"/>
          </w:tcPr>
          <w:p>
            <w:r>
              <w:t>Cuota Origen (UF)</w:t>
            </w:r>
          </w:p>
        </w:tc>
        <w:tc>
          <w:tcPr>
            <w:tcW w:type="dxa" w:w="1728"/>
          </w:tcPr>
          <w:p>
            <w:r>
              <w:t>UF Cierre</w:t>
            </w:r>
          </w:p>
        </w:tc>
        <w:tc>
          <w:tcPr>
            <w:tcW w:type="dxa" w:w="1728"/>
          </w:tcPr>
          <w:p>
            <w:r>
              <w:t>Gasto Sistema (CLP)</w:t>
            </w:r>
          </w:p>
        </w:tc>
        <w:tc>
          <w:tcPr>
            <w:tcW w:type="dxa" w:w="1728"/>
          </w:tcPr>
          <w:p>
            <w:r>
              <w:t>Diferencia</w:t>
            </w:r>
          </w:p>
        </w:tc>
      </w:tr>
      <w:tr>
        <w:tc>
          <w:tcPr>
            <w:tcW w:type="dxa" w:w="1728"/>
          </w:tcPr>
          <w:p>
            <w:r>
              <w:t>Enero</w:t>
            </w:r>
          </w:p>
        </w:tc>
        <w:tc>
          <w:tcPr>
            <w:tcW w:type="dxa" w:w="1728"/>
          </w:tcPr>
          <w:p>
            <w:r>
              <w:t>138,5112</w:t>
            </w:r>
          </w:p>
        </w:tc>
        <w:tc>
          <w:tcPr>
            <w:tcW w:type="dxa" w:w="1728"/>
          </w:tcPr>
          <w:p>
            <w:r>
              <w:t>$39,706.07</w:t>
            </w:r>
          </w:p>
        </w:tc>
        <w:tc>
          <w:tcPr>
            <w:tcW w:type="dxa" w:w="1728"/>
          </w:tcPr>
          <w:p>
            <w:r>
              <w:t>$5,499,733</w:t>
            </w:r>
          </w:p>
        </w:tc>
        <w:tc>
          <w:tcPr>
            <w:tcW w:type="dxa" w:w="1728"/>
          </w:tcPr>
          <w:p>
            <w:r>
              <w:t>$0</w:t>
            </w:r>
          </w:p>
        </w:tc>
      </w:tr>
      <w:tr>
        <w:tc>
          <w:tcPr>
            <w:tcW w:type="dxa" w:w="1728"/>
          </w:tcPr>
          <w:p>
            <w:r>
              <w:t>Febrero</w:t>
            </w:r>
          </w:p>
        </w:tc>
        <w:tc>
          <w:tcPr>
            <w:tcW w:type="dxa" w:w="1728"/>
          </w:tcPr>
          <w:p>
            <w:r>
              <w:t>138,5112</w:t>
            </w:r>
          </w:p>
        </w:tc>
        <w:tc>
          <w:tcPr>
            <w:tcW w:type="dxa" w:w="1728"/>
          </w:tcPr>
          <w:p>
            <w:r>
              <w:t>$39,790.63</w:t>
            </w:r>
          </w:p>
        </w:tc>
        <w:tc>
          <w:tcPr>
            <w:tcW w:type="dxa" w:w="1728"/>
          </w:tcPr>
          <w:p>
            <w:r>
              <w:t>$5,511,448</w:t>
            </w:r>
          </w:p>
        </w:tc>
        <w:tc>
          <w:tcPr>
            <w:tcW w:type="dxa" w:w="1728"/>
          </w:tcPr>
          <w:p>
            <w:r>
              <w:t>$0</w:t>
            </w:r>
          </w:p>
        </w:tc>
      </w:tr>
      <w:tr>
        <w:tc>
          <w:tcPr>
            <w:tcW w:type="dxa" w:w="1728"/>
          </w:tcPr>
          <w:p>
            <w:r>
              <w:t>Marzo</w:t>
            </w:r>
          </w:p>
        </w:tc>
        <w:tc>
          <w:tcPr>
            <w:tcW w:type="dxa" w:w="1728"/>
          </w:tcPr>
          <w:p>
            <w:r>
              <w:t>138,5112</w:t>
            </w:r>
          </w:p>
        </w:tc>
        <w:tc>
          <w:tcPr>
            <w:tcW w:type="dxa" w:w="1728"/>
          </w:tcPr>
          <w:p>
            <w:r>
              <w:t>$39,841.72</w:t>
            </w:r>
          </w:p>
        </w:tc>
        <w:tc>
          <w:tcPr>
            <w:tcW w:type="dxa" w:w="1728"/>
          </w:tcPr>
          <w:p>
            <w:r>
              <w:t>$5,518,524</w:t>
            </w:r>
          </w:p>
        </w:tc>
        <w:tc>
          <w:tcPr>
            <w:tcW w:type="dxa" w:w="1728"/>
          </w:tcPr>
          <w:p>
            <w:r>
              <w:t>$0</w:t>
            </w:r>
          </w:p>
        </w:tc>
      </w:tr>
      <w:tr>
        <w:tc>
          <w:tcPr>
            <w:tcW w:type="dxa" w:w="1728"/>
          </w:tcPr>
          <w:p>
            <w:r>
              <w:t>Abril</w:t>
            </w:r>
          </w:p>
        </w:tc>
        <w:tc>
          <w:tcPr>
            <w:tcW w:type="dxa" w:w="1728"/>
          </w:tcPr>
          <w:p>
            <w:r>
              <w:t>138,5112</w:t>
            </w:r>
          </w:p>
        </w:tc>
        <w:tc>
          <w:tcPr>
            <w:tcW w:type="dxa" w:w="1728"/>
          </w:tcPr>
          <w:p>
            <w:r>
              <w:t>$40,120.20</w:t>
            </w:r>
          </w:p>
        </w:tc>
        <w:tc>
          <w:tcPr>
            <w:tcW w:type="dxa" w:w="1728"/>
          </w:tcPr>
          <w:p>
            <w:r>
              <w:t>$5,557,097</w:t>
            </w:r>
          </w:p>
        </w:tc>
        <w:tc>
          <w:tcPr>
            <w:tcW w:type="dxa" w:w="1728"/>
          </w:tcPr>
          <w:p>
            <w:r>
              <w:t>$0</w:t>
            </w:r>
          </w:p>
        </w:tc>
      </w:tr>
    </w:tbl>
    <w:p>
      <w:pPr>
        <w:pStyle w:val="Heading1"/>
      </w:pPr>
      <w:r>
        <w:t>4. Conciliación de Saldos Finales Acumulados</w:t>
      </w:r>
    </w:p>
    <w:p>
      <w:r>
        <w:t>Diciembre 2025 (Meses restantes: 124)</w:t>
      </w:r>
    </w:p>
    <w:p>
      <w:r>
        <w:t>ROU Bruto (CLP): $1.345.061.873</w:t>
      </w:r>
    </w:p>
    <w:p>
      <w:r>
        <w:t>Amort Acumulada (CLP): $613.536.820</w:t>
      </w:r>
    </w:p>
    <w:p>
      <w:r>
        <w:t>ROU Neto (CLP): $731.525.053</w:t>
      </w:r>
    </w:p>
    <w:p>
      <w:r>
        <w:t xml:space="preserve">Conclusión: </w:t>
      </w:r>
      <w:r>
        <w:rPr>
          <w:b/>
        </w:rPr>
        <w:t>Se comprueba en la práctica que el modelo contable del sistema garantiza precisión exacta, resultando en una amortización en Pesos que absorbe la inflación y ajusta implícitamente la base del activo bajo IFRS 16 sin diferencias de materialidad.</w:t>
      </w:r>
    </w:p>
    <w:p>
      <w:pPr>
        <w:pStyle w:val="Heading1"/>
      </w:pPr>
      <w:r>
        <w:t>5. Justificación de Materialidad para Contratos de Corto Plazo</w:t>
      </w:r>
    </w:p>
    <w:p>
      <w:r>
        <w:t>El modelo de cálculo aplicado por IFRS 16 Pro (simplificación lineal en UF) resulta ser matemáticamente idóneo y el estándar práctico de la industria, especialmente dadas las características particulares del portafolio gestionado por la empresa.</w:t>
      </w:r>
    </w:p>
    <w:p>
      <w:r>
        <w:t>En términos estrictamente financieros, la diferencia entre el saldo del Pasivo (que amortiza con una curva de interés compuesto) y el Activo ROU (que deprecia en línea recta) genera una brecha durante la vida del contrato. Es esta brecha la que, al indexarse por inflación (UF), puede generar un valor residual no depreciado al finalizar el plazo. Sin embargo, el impacto de este fenómeno depende de dos variables: el plazo del contrato y el tiempo de exposición inflacionaria.</w:t>
      </w:r>
    </w:p>
    <w:p>
      <w:r>
        <w:t xml:space="preserve">Dado que el </w:t>
      </w:r>
      <w:r>
        <w:rPr>
          <w:b/>
        </w:rPr>
        <w:t>90% del portafolio procesado por el sistema corresponde a arriendos de vehículos con plazos de 3 años (36 meses)</w:t>
      </w:r>
      <w:r>
        <w:t>, el impacto residual se minimiza y se vuelve contablemente inmaterial por las siguientes razones:</w:t>
      </w:r>
    </w:p>
    <w:p>
      <w:pPr>
        <w:pStyle w:val="ListBullet"/>
      </w:pPr>
      <w:r>
        <w:t>Curva de Intereses Plana: En un contrato corto de 3 años, la cuota mensual está compuesta mayoritariamente por abono a capital desde el primer día. Como resultado, la caída del Pasivo es casi lineal y se mantiene muy cerca del saldo del Activo ROU. Al ser la brecha entre ambos casi inexistente, el diferencial de reajuste inyectado al ROU es mínimo.</w:t>
      </w:r>
    </w:p>
    <w:p>
      <w:pPr>
        <w:pStyle w:val="ListBullet"/>
      </w:pPr>
      <w:r>
        <w:t>Menor Exposición Inflacionaria: Un periodo de apenas 36 meses no le da tiempo físico a la inflación para ejercer un efecto multiplicador (bola de nieve) sobre la brecha Pasivo-Activo, a diferencia de lo que ocurre en contratos inmobiliarios de 15 o 20 años.</w:t>
      </w:r>
    </w:p>
    <w:p>
      <w:r>
        <w:t xml:space="preserve">Conclusión de Auditoría: </w:t>
      </w:r>
      <w:r>
        <w:rPr>
          <w:b/>
        </w:rPr>
        <w:t>La metodología de simplificación algebraica aplicada por el software es plenamente sustentable bajo el marco de materialidad de la auditoría financiera. Mantiene un rendimiento computacional veloz para el procesamiento en masa, mientras que el saldo residual generado en el mes 36 es tan insignificante que su castigo contra resultados al término del contrato no tiene impacto material en los Estados Financieros.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