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 serie MH300 de accionamiento compacto de alto rendimiento de Delta es un control microvectorial de nueva generación que hereda la tecnología de accionamiento superior de Delta. Con sus ventajas de excelente rendimiento de la unidad, sólido soporte del sistema y una variedad de funciones esenciales, la serie MH300 es la clave para mejorar la competitividad del mercado y garantizar el éxito. Además, cuenta con un puerto USB para que las cargas y descargas de datos sean rápidas y sencillas, lo que ahorra la necesidad de hardware adicional y proporciona más espacio de instalación para el gabinete de energía.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Aplicaciones: </w:t>
      </w:r>
      <w:r w:rsidDel="00000000" w:rsidR="00000000" w:rsidRPr="00000000">
        <w:rPr>
          <w:rtl w:val="0"/>
        </w:rPr>
        <w:t xml:space="preserve">Máquinas herramienta, maquinaria textil, carpintería, caucho y plástico, aplicaciones de bobinado/desenrollado.</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ESPECIFICACIONES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Excelente rendimiento de conducción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Capacidad de sobrecarga hasta 150%/60 seg, y 200%/3 seg. Adecuado para aplicaciones de par constante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Admite motores de inducción y de imán permanente con tarjetas PG opcionales para un control de velocidad y posición altamente preciso</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Proporciona una potente salida de par a baja frecuencia (0,5 Hz/200 % sin control vectorial PG; 0 Hz/200 % con control vectorial PG) para un funcionamiento estable y de servicio pesado a baja velocidad y par alto.</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Función de control de tensión constante incorporada</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Control de velocidad, par y posición.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Fuerte soporte del sistema</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PLC incorporado con 5k pasos; Admite la programación del sistema para ahorrar costos.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Función de seguridad STO (SIL2/PL d) integrada y medidas para cortes de energía repentinos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Todos los modelos se pueden conectar a través de un bus CC común.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Interfaz Modbus y CANopen incorporada; Tarjeta de comunicación opcional, que incluye EtherNet/IP, Modbus TCP, EtherCAT, DeviceNet, PROFIBUS DP y PROFINET.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Modelos opcionales con filtro incorporado</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Tarjeta de fuente de alimentación de 24 V opcional para reducir el tiempo de inactividad inesperado</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Expansión flexible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Dos terminales de entrada de pulso de alta velocidad de 33 kHz (MI6 y 7) incorporados y un terminal de salida (DFM)</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Dos ranuras para tarjetas accesorias integradas para tarjeta PG, tarjeta de expansión de E/S, tarjeta de comunicación o tarjeta de alimentación de 24 V al mismo tiempo</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Ampliable a 3 DI y 3 DO, incluidos 6 puertos en total</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Ampliable a 2 o 3 relés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Control de tensión avanzado</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Cálculo del diámetro del rollo incorporado mediante velocidad lineal, espesor del material y medidor de distancia</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Dos parámetros PID: Linealmente ajustable para controlar la tensión en el arranque, de rollos pequeños/grandes y a velocidad lineal alta/baja.</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Cálculo de la tensión cónica: ajusta automáticamente la tensión según el diámetro del rodillo de bobinado para evitar arrugas o deformaciones.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Compensación de fricción e inercia para el control de par: Compensa automáticamente la fricción y la inercia durante el bobinado/desenrollado para una tensión constante</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Cambio automático de rollo mediante simple señal externa sin parada de la máquina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