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 variador de frecuencia serie C2000 proporciona la solución más eficiente para todo tipo de aplicaciones de variadores. Cuenta con funciones precisas de control de velocidad, par y posición que son adecuadas para motores síncronos y asíncronos con y sin sensor.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serie C2000 también está equipada con funciones PLC integradas y admite la extensión CANopen Master/Slave para lo último en flexibilidad del sistema y rápido intercambio de datos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Dos en uno: Podrá controlar motores asíncronos y servomotores “brushless” con encoder.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Unidad de frenado incorporada en los equipos de 0,75 a 30 kW.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el montaje de hasta 3 cartas de expansión: entradas/salidas, realimentación por encoder, comunicaciones: Profibus-DP, DeviceNet, CANopen, Modbus TCP y EtherNet/IP).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Función de “parada segura” incorporada, s/ EN954-1, EN60204-1 y IEC61508.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Filtro de RFI incorporado, con posibilidad de ser desconectado.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Circuitos impresos barnizados.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Regleta de control extraíble.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Inductancia incorporada en el bus c.c.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Posibilidad opcional de kit de montaje para realizar la disipación de calor externamente.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APLICACIONES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Maquinaria de envasado de alimentos, transportadores, maquinaria textil, maquinaria para trabajar la madera, ventiladores, bombas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