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BD92" w14:textId="7C3458F7" w:rsidR="00C0501C" w:rsidRDefault="004819EA">
      <w:r w:rsidRPr="00675638">
        <w:rPr>
          <w:b/>
          <w:bCs/>
        </w:rPr>
        <w:t>Allergeni</w:t>
      </w:r>
      <w:r w:rsidR="00675638">
        <w:t xml:space="preserve"> (1-14 allergeni europei; 15-22 altri allergeni)</w:t>
      </w:r>
    </w:p>
    <w:p w14:paraId="3991B632" w14:textId="60C15A2A" w:rsidR="004819EA" w:rsidRPr="004819EA" w:rsidRDefault="004819EA" w:rsidP="004819EA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Cereali contenenti glutine, vale a dire: grano (tra cui farro e grano khorasan), segale, orzo, avena o i loro ceppi ibridati e prodotti derivati</w:t>
      </w:r>
      <w:r>
        <w:rPr>
          <w:color w:val="000000"/>
          <w:shd w:val="clear" w:color="auto" w:fill="FFFFFF"/>
        </w:rPr>
        <w:t>:</w:t>
      </w:r>
    </w:p>
    <w:p w14:paraId="2CB8F72A" w14:textId="1A3EF45B" w:rsidR="004819EA" w:rsidRDefault="004819EA" w:rsidP="004819EA">
      <w:pPr>
        <w:pStyle w:val="Paragrafoelenco"/>
        <w:numPr>
          <w:ilvl w:val="1"/>
          <w:numId w:val="1"/>
        </w:numPr>
      </w:pPr>
      <w:r>
        <w:t>sciroppi di glucosio a base di grano, incluso destrosio;</w:t>
      </w:r>
    </w:p>
    <w:p w14:paraId="5AF7035A" w14:textId="29704DBD" w:rsidR="004819EA" w:rsidRDefault="004819EA" w:rsidP="004819EA">
      <w:pPr>
        <w:pStyle w:val="Paragrafoelenco"/>
        <w:numPr>
          <w:ilvl w:val="1"/>
          <w:numId w:val="1"/>
        </w:numPr>
      </w:pPr>
      <w:r>
        <w:t xml:space="preserve">maltodestrine a base di grano (15) </w:t>
      </w:r>
      <w:r>
        <w:t>;</w:t>
      </w:r>
      <w:r>
        <w:t xml:space="preserve"> </w:t>
      </w:r>
    </w:p>
    <w:p w14:paraId="2626675C" w14:textId="51488C1B" w:rsidR="004819EA" w:rsidRDefault="004819EA" w:rsidP="004819EA">
      <w:pPr>
        <w:pStyle w:val="Paragrafoelenco"/>
        <w:numPr>
          <w:ilvl w:val="1"/>
          <w:numId w:val="1"/>
        </w:numPr>
      </w:pPr>
      <w:r>
        <w:t>sciroppi di glucosio a base di orzo;</w:t>
      </w:r>
    </w:p>
    <w:p w14:paraId="795DB6C9" w14:textId="1D3CB363" w:rsidR="004819EA" w:rsidRPr="004819EA" w:rsidRDefault="004819EA" w:rsidP="004819EA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cereali utilizzati per la fabbricazione di distillati alcolici, incluso l’alcol etilico di origine agricola.</w:t>
      </w:r>
    </w:p>
    <w:p w14:paraId="52A4ECCD" w14:textId="28037C48" w:rsidR="004819EA" w:rsidRDefault="004819EA" w:rsidP="004819EA">
      <w:pPr>
        <w:pStyle w:val="Paragrafoelenco"/>
        <w:numPr>
          <w:ilvl w:val="0"/>
          <w:numId w:val="1"/>
        </w:numPr>
      </w:pPr>
      <w:r>
        <w:t>Crostacei e prodotti a base di crostacei.</w:t>
      </w:r>
    </w:p>
    <w:p w14:paraId="447EDF4B" w14:textId="70026C59" w:rsidR="004819EA" w:rsidRDefault="004819EA" w:rsidP="004819EA">
      <w:pPr>
        <w:pStyle w:val="Paragrafoelenco"/>
        <w:numPr>
          <w:ilvl w:val="0"/>
          <w:numId w:val="1"/>
        </w:numPr>
      </w:pPr>
      <w:r>
        <w:t>Uova e prodotti a base di uova.</w:t>
      </w:r>
    </w:p>
    <w:p w14:paraId="57EA58A3" w14:textId="329FA917" w:rsidR="00675638" w:rsidRDefault="00675638" w:rsidP="004819EA">
      <w:pPr>
        <w:pStyle w:val="Paragrafoelenco"/>
        <w:numPr>
          <w:ilvl w:val="0"/>
          <w:numId w:val="1"/>
        </w:numPr>
      </w:pPr>
      <w:r>
        <w:t>Pesce e prodotti della pesca, tranne:</w:t>
      </w:r>
    </w:p>
    <w:p w14:paraId="0F467569" w14:textId="4B68C40B" w:rsidR="00675638" w:rsidRPr="00675638" w:rsidRDefault="00675638" w:rsidP="00675638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gelatina di pesce utilizzata come supporto per preparati di vitamine o carotenoidi</w:t>
      </w:r>
      <w:r>
        <w:rPr>
          <w:color w:val="000000"/>
          <w:shd w:val="clear" w:color="auto" w:fill="FFFFFF"/>
        </w:rPr>
        <w:t>;</w:t>
      </w:r>
    </w:p>
    <w:p w14:paraId="30E422A5" w14:textId="4AFF9E4D" w:rsidR="00675638" w:rsidRPr="00675638" w:rsidRDefault="00675638" w:rsidP="00675638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gelatina o colla di pesce utilizzata come chiarificante nella birra e nel vino.</w:t>
      </w:r>
    </w:p>
    <w:p w14:paraId="5F1BB79B" w14:textId="4A3C2ED6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Arachidi e prodotti a base di arachidi.</w:t>
      </w:r>
    </w:p>
    <w:p w14:paraId="1E7CA4D5" w14:textId="259EAF2C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Soia e prodotti a base di soia, tranne:</w:t>
      </w:r>
    </w:p>
    <w:p w14:paraId="66DA99A0" w14:textId="09D2B83F" w:rsidR="00675638" w:rsidRPr="00675638" w:rsidRDefault="00675638" w:rsidP="00675638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olio e grasso di soia raffinato</w:t>
      </w:r>
      <w:r>
        <w:rPr>
          <w:color w:val="000000"/>
          <w:shd w:val="clear" w:color="auto" w:fill="FFFFFF"/>
        </w:rPr>
        <w:t>;</w:t>
      </w:r>
    </w:p>
    <w:p w14:paraId="4A2719D5" w14:textId="7CABC293" w:rsidR="00675638" w:rsidRPr="00675638" w:rsidRDefault="00675638" w:rsidP="00675638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tocoferoli misti naturali (E306), tocoferolo D-alfa naturale, tocoferolo acetato D-alfa naturale, tocoferolo succinato D-alfa naturale a base di soia;</w:t>
      </w:r>
    </w:p>
    <w:p w14:paraId="288F813B" w14:textId="31DDE294" w:rsidR="00675638" w:rsidRPr="00675638" w:rsidRDefault="00675638" w:rsidP="00675638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oli vegetali derivati da fitosteroli e fitosteroli esteri a base di soia;</w:t>
      </w:r>
    </w:p>
    <w:p w14:paraId="15182E96" w14:textId="420582A6" w:rsidR="00675638" w:rsidRPr="00675638" w:rsidRDefault="00675638" w:rsidP="00675638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estere di stanolo vegetale prodotto da steroli di olio vegetale a base di soia.</w:t>
      </w:r>
    </w:p>
    <w:p w14:paraId="7600A900" w14:textId="0ACCDABA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Latte e prodotti a base di latte (incluso lattosio), tranne:</w:t>
      </w:r>
    </w:p>
    <w:p w14:paraId="4EC38C47" w14:textId="625AFAA8" w:rsidR="00675638" w:rsidRPr="00675638" w:rsidRDefault="00675638" w:rsidP="00675638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siero di latte utilizzato per la fabbricazione di distillati alcolici, incluso l’alcol etilico di origine agricola;</w:t>
      </w:r>
    </w:p>
    <w:p w14:paraId="49D90774" w14:textId="129FE118" w:rsidR="00675638" w:rsidRDefault="00675638" w:rsidP="00675638">
      <w:pPr>
        <w:pStyle w:val="Paragrafoelenco"/>
        <w:numPr>
          <w:ilvl w:val="1"/>
          <w:numId w:val="1"/>
        </w:numPr>
      </w:pPr>
      <w:r w:rsidRPr="00675638">
        <w:t>lattitolo.</w:t>
      </w:r>
    </w:p>
    <w:p w14:paraId="6633EF12" w14:textId="40308C42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Frutta a guscio, vale a dire: mandorle (</w:t>
      </w:r>
      <w:r>
        <w:rPr>
          <w:rStyle w:val="italics"/>
          <w:i/>
          <w:iCs/>
          <w:color w:val="000000"/>
          <w:shd w:val="clear" w:color="auto" w:fill="FFFFFF"/>
        </w:rPr>
        <w:t>Amygdalus communis</w:t>
      </w:r>
      <w:r>
        <w:rPr>
          <w:color w:val="000000"/>
          <w:shd w:val="clear" w:color="auto" w:fill="FFFFFF"/>
        </w:rPr>
        <w:t> L.), nocciole (</w:t>
      </w:r>
      <w:r>
        <w:rPr>
          <w:rStyle w:val="italics"/>
          <w:i/>
          <w:iCs/>
          <w:color w:val="000000"/>
          <w:shd w:val="clear" w:color="auto" w:fill="FFFFFF"/>
        </w:rPr>
        <w:t>Corylus avellana</w:t>
      </w:r>
      <w:r>
        <w:rPr>
          <w:color w:val="000000"/>
          <w:shd w:val="clear" w:color="auto" w:fill="FFFFFF"/>
        </w:rPr>
        <w:t>), noci (</w:t>
      </w:r>
      <w:r>
        <w:rPr>
          <w:rStyle w:val="italics"/>
          <w:i/>
          <w:iCs/>
          <w:color w:val="000000"/>
          <w:shd w:val="clear" w:color="auto" w:fill="FFFFFF"/>
        </w:rPr>
        <w:t>Juglans regia</w:t>
      </w:r>
      <w:r>
        <w:rPr>
          <w:color w:val="000000"/>
          <w:shd w:val="clear" w:color="auto" w:fill="FFFFFF"/>
        </w:rPr>
        <w:t>), noci di acagiù (</w:t>
      </w:r>
      <w:r>
        <w:rPr>
          <w:rStyle w:val="italics"/>
          <w:i/>
          <w:iCs/>
          <w:color w:val="000000"/>
          <w:shd w:val="clear" w:color="auto" w:fill="FFFFFF"/>
        </w:rPr>
        <w:t>Anacardium occidentale</w:t>
      </w:r>
      <w:r>
        <w:rPr>
          <w:color w:val="000000"/>
          <w:shd w:val="clear" w:color="auto" w:fill="FFFFFF"/>
        </w:rPr>
        <w:t>), noci di pecan [</w:t>
      </w:r>
      <w:r>
        <w:rPr>
          <w:rStyle w:val="italics"/>
          <w:i/>
          <w:iCs/>
          <w:color w:val="000000"/>
          <w:shd w:val="clear" w:color="auto" w:fill="FFFFFF"/>
        </w:rPr>
        <w:t>Carya illinoinensis</w:t>
      </w:r>
      <w:r>
        <w:rPr>
          <w:color w:val="000000"/>
          <w:shd w:val="clear" w:color="auto" w:fill="FFFFFF"/>
        </w:rPr>
        <w:t> (Wangenh.) K. Koch], noci del Brasile (</w:t>
      </w:r>
      <w:r>
        <w:rPr>
          <w:rStyle w:val="italics"/>
          <w:i/>
          <w:iCs/>
          <w:color w:val="000000"/>
          <w:shd w:val="clear" w:color="auto" w:fill="FFFFFF"/>
        </w:rPr>
        <w:t>Bertholletia excelsa</w:t>
      </w:r>
      <w:r>
        <w:rPr>
          <w:color w:val="000000"/>
          <w:shd w:val="clear" w:color="auto" w:fill="FFFFFF"/>
        </w:rPr>
        <w:t>), pistacchi (</w:t>
      </w:r>
      <w:r>
        <w:rPr>
          <w:rStyle w:val="italics"/>
          <w:i/>
          <w:iCs/>
          <w:color w:val="000000"/>
          <w:shd w:val="clear" w:color="auto" w:fill="FFFFFF"/>
        </w:rPr>
        <w:t>Pistacia vera</w:t>
      </w:r>
      <w:r>
        <w:rPr>
          <w:color w:val="000000"/>
          <w:shd w:val="clear" w:color="auto" w:fill="FFFFFF"/>
        </w:rPr>
        <w:t>), noci macadamia o noci del Queensland (</w:t>
      </w:r>
      <w:r>
        <w:rPr>
          <w:rStyle w:val="italics"/>
          <w:i/>
          <w:iCs/>
          <w:color w:val="000000"/>
          <w:shd w:val="clear" w:color="auto" w:fill="FFFFFF"/>
        </w:rPr>
        <w:t>Macadamia ternifolia</w:t>
      </w:r>
      <w:r>
        <w:rPr>
          <w:color w:val="000000"/>
          <w:shd w:val="clear" w:color="auto" w:fill="FFFFFF"/>
        </w:rPr>
        <w:t>), e i loro prodotti, tranne</w:t>
      </w:r>
      <w:r>
        <w:rPr>
          <w:color w:val="000000"/>
          <w:shd w:val="clear" w:color="auto" w:fill="FFFFFF"/>
        </w:rPr>
        <w:t>:</w:t>
      </w:r>
    </w:p>
    <w:p w14:paraId="04D6EE84" w14:textId="0F4BDD1A" w:rsidR="00675638" w:rsidRPr="00675638" w:rsidRDefault="00675638" w:rsidP="00675638">
      <w:pPr>
        <w:pStyle w:val="Paragrafoelenco"/>
        <w:numPr>
          <w:ilvl w:val="1"/>
          <w:numId w:val="1"/>
        </w:numPr>
      </w:pPr>
      <w:r>
        <w:rPr>
          <w:color w:val="000000"/>
          <w:shd w:val="clear" w:color="auto" w:fill="FFFFFF"/>
        </w:rPr>
        <w:t>frutta a guscio utilizzata per la fabbricazione di distillati alcolici, incluso l’alcol etilico di origine agricola.</w:t>
      </w:r>
    </w:p>
    <w:p w14:paraId="625A9734" w14:textId="4EACB8D7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Sedano e prodotti a base di sedano.</w:t>
      </w:r>
    </w:p>
    <w:p w14:paraId="6176240D" w14:textId="667C35F1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Senape e prodotti a base di senape.</w:t>
      </w:r>
    </w:p>
    <w:p w14:paraId="0DC1EF38" w14:textId="17916358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Semi di sesamo e prodotti a base di semi di sesamo.</w:t>
      </w:r>
    </w:p>
    <w:p w14:paraId="0DFA7F90" w14:textId="2BDC3262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Anidride solforosa e solfiti in concentrazioni superiori a 10 mg/kg o 10 mg/litro in termini di SO</w:t>
      </w:r>
      <w:r>
        <w:rPr>
          <w:rStyle w:val="subscript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color w:val="000000"/>
          <w:shd w:val="clear" w:color="auto" w:fill="FFFFFF"/>
        </w:rPr>
        <w:t> totale da calcolarsi per i prodotti così come proposti pronti al consumo o ricostituiti conformemente alle istruzioni dei fabbricanti</w:t>
      </w:r>
      <w:r>
        <w:rPr>
          <w:color w:val="000000"/>
          <w:shd w:val="clear" w:color="auto" w:fill="FFFFFF"/>
        </w:rPr>
        <w:t>.</w:t>
      </w:r>
    </w:p>
    <w:p w14:paraId="558D3266" w14:textId="1410BD36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Lupini e prodotti a base di lupini.</w:t>
      </w:r>
    </w:p>
    <w:p w14:paraId="2C244EA8" w14:textId="28EBAF26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Molluschi e prodotti a base di molluschi.</w:t>
      </w:r>
    </w:p>
    <w:p w14:paraId="58F90A94" w14:textId="1E59C8FF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Grano saraceno e prodotti a base di grano saraceno.</w:t>
      </w:r>
    </w:p>
    <w:p w14:paraId="653ABD1D" w14:textId="58E6CB13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Propoli e prodotti a base di propoli.</w:t>
      </w:r>
    </w:p>
    <w:p w14:paraId="6A9C94D9" w14:textId="2BCD19B6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Pappa reale e prodotti a base di pappa reale.</w:t>
      </w:r>
    </w:p>
    <w:p w14:paraId="39C1BD6D" w14:textId="53E67007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Mango e prodotti a base di mango.</w:t>
      </w:r>
    </w:p>
    <w:p w14:paraId="127C41A9" w14:textId="6541EEE9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Pesca e prodotti a base di pesca.</w:t>
      </w:r>
    </w:p>
    <w:p w14:paraId="7C275351" w14:textId="2FB46CB8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Maiale e prodotti a base di maiale.</w:t>
      </w:r>
    </w:p>
    <w:p w14:paraId="34433EC2" w14:textId="331DE618" w:rsidR="00675638" w:rsidRPr="00675638" w:rsidRDefault="00675638" w:rsidP="00675638">
      <w:pPr>
        <w:pStyle w:val="Paragrafoelenco"/>
        <w:numPr>
          <w:ilvl w:val="0"/>
          <w:numId w:val="1"/>
        </w:numPr>
      </w:pPr>
      <w:r>
        <w:rPr>
          <w:color w:val="000000"/>
          <w:shd w:val="clear" w:color="auto" w:fill="FFFFFF"/>
        </w:rPr>
        <w:t>Pomodoro e prodotti a base di pomodoro.</w:t>
      </w:r>
    </w:p>
    <w:p w14:paraId="2E5DF5FF" w14:textId="61C7397B" w:rsidR="00675638" w:rsidRDefault="00675638" w:rsidP="00675638">
      <w:pPr>
        <w:pStyle w:val="Paragrafoelenco"/>
        <w:numPr>
          <w:ilvl w:val="0"/>
          <w:numId w:val="1"/>
        </w:numPr>
      </w:pPr>
      <w:r>
        <w:t>Lattice e prodotti a base di lattice</w:t>
      </w:r>
    </w:p>
    <w:sectPr w:rsidR="006756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9496A"/>
    <w:multiLevelType w:val="hybridMultilevel"/>
    <w:tmpl w:val="3FCA81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99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96"/>
    <w:rsid w:val="004819EA"/>
    <w:rsid w:val="004D2F96"/>
    <w:rsid w:val="00675638"/>
    <w:rsid w:val="00C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06F37E"/>
  <w15:chartTrackingRefBased/>
  <w15:docId w15:val="{3B17C9FA-2B9B-4D02-96A6-F918884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9EA"/>
    <w:pPr>
      <w:ind w:left="720"/>
      <w:contextualSpacing/>
    </w:pPr>
  </w:style>
  <w:style w:type="character" w:customStyle="1" w:styleId="italics">
    <w:name w:val="italics"/>
    <w:basedOn w:val="Carpredefinitoparagrafo"/>
    <w:rsid w:val="00675638"/>
  </w:style>
  <w:style w:type="character" w:customStyle="1" w:styleId="subscript">
    <w:name w:val="subscript"/>
    <w:basedOn w:val="Carpredefinitoparagrafo"/>
    <w:rsid w:val="0067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1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2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37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3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9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422</Words>
  <Characters>2144</Characters>
  <Application>Microsoft Office Word</Application>
  <DocSecurity>0</DocSecurity>
  <Lines>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Giustiniani</dc:creator>
  <cp:keywords/>
  <dc:description/>
  <cp:lastModifiedBy>Cristiana Giustiniani</cp:lastModifiedBy>
  <cp:revision>2</cp:revision>
  <dcterms:created xsi:type="dcterms:W3CDTF">2023-12-06T14:19:00Z</dcterms:created>
  <dcterms:modified xsi:type="dcterms:W3CDTF">2023-12-06T14:37:00Z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6f2ba785a0fb048b542b09a7d793f684c579306e7d19b3a9e3c88a4a97e55cbb</vt:lpwstr>
  </property>
</Properties>
</file>