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pPr>
        <w:jc w:val="center"/>
      </w:pPr>
      <w:r w:rsidRPr="006567E3">
        <w:rPr>
          <w:b/>
          <w:bCs/>
        </w:rPr>
        <w:t>CONTRATO DE TRABAJO</w:t>
      </w:r>
    </w:p>
    <w:p w14:paraId="0253F0BA" w14:textId="77777777" w:rsidR="006567E3" w:rsidRPr="006567E3" w:rsidRDefault="006567E3" w:rsidP="006567E3">
      <w:pPr>
        <w:jc w:val="center"/>
      </w:pPr>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xml:space="preserve">1 </w:t>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y en los artículos 40 bis y siguientes del mismo código, las partes pactan una JORNADA PARCIAL de </w:t>
      </w:r>
      <w:r w:rsidRPr="006567E3">
        <w:rPr>
          <w:b/>
          <w:bCs/>
        </w:rPr>
        <w:t>{HORAS_SEMANALES} horas semanales</w:t>
      </w:r>
      <w:r w:rsidRPr="006567E3">
        <w:t xml:space="preserve">, distribuidas de Lunes a Domingo, en un régimen de turnos rotativos.</w:t>
      </w:r>
    </w:p>
    <w:p w14:paraId="388F6F1C" w14:textId="77777777" w:rsidR="006567E3" w:rsidRPr="006567E3" w:rsidRDefault="006567E3" w:rsidP="006567E3">
      <w:r w:rsidRPr="006567E3">
        <w:t>Los tipos de turno de la Tienda son los que se indican a continuación. La Empresa asignará semanalmente al Trabajador sólo el número de turnos necesario para enterar las horas semanales pactadas, según las necesidades operativas: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1  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2  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3  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xml:space="preserve">4 </w:t>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5  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6  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{SUELDO_BASE}</w:t>
      </w:r>
      <w:r w:rsidRPr="006567E3">
        <w:rPr>
          <w:b/>
          <w:bCs/>
        </w:rPr>
        <w:t xml:space="preserve"> ({SUELDO_BASE_PALABRA}).</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{REGIMEN_PREVISIONAL}{PREVISION}</w:t>
      </w:r>
    </w:p>
    <w:p w14:paraId="180CE450"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{DIRECCION_EMPRESA}.</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011AA20A"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