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1 </w:t>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y en los artículos 40 bis y siguientes del mismo código, las partes pactan una JORNADA PARCIAL de </w:t>
      </w:r>
      <w:r w:rsidRPr="006567E3">
        <w:rPr>
          <w:b/>
          <w:bCs/>
        </w:rPr>
        <w:t>{HORAS_SEMANALES} horas semanales</w:t>
      </w:r>
      <w:r w:rsidRPr="006567E3">
        <w:t xml:space="preserve">, distribuidas de Lunes a Domingo, en un régimen de turnos rotativos.</w:t>
      </w:r>
    </w:p>
    <w:p w14:paraId="388F6F1C" w14:textId="77777777" w:rsidR="006567E3" w:rsidRPr="006567E3" w:rsidRDefault="006567E3" w:rsidP="006567E3">
      <w:r w:rsidRPr="006567E3">
        <w:t>Los tipos de turno de la Tienda son los que se indican a continuación. La Empresa asignará semanalmente al Trabajador sólo el número de turnos necesario para enterar las horas semanales pactadas, según las necesidades operativas: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4 </w:t>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r>
        <w:t xml:space="preserve"/>
      </w:r>
    </w:p>
    <w:p>
      <w:r>
        <w:rPr>
          <w:b/>
        </w:rPr>
        <w:t xml:space="preserve">VIGÉSIMO NOVENO: CLÁUSULAS ESPECIALES PARA TRABAJADOR EXTRANJERO.</w:t>
      </w:r>
    </w:p>
    <w:p>
      <w:r>
        <w:t xml:space="preserve">Cláusula de vigencia: “La obligación de prestar servicios emanada del presente contrato, sólo podrá cumplirse una vez que el trabajador haya obtenido la visación de residencia correspondiente en Chile o el permiso especial de trabajo para extranjeros con visa en trámite”.</w:t>
      </w:r>
    </w:p>
    <w:p>
      <w:r>
        <w:t xml:space="preserve">Cláusula de régimen previsional: el empleador(a) se compromete a efectuar las retenciones correspondientes y entregarlas a las instituciones de seguridad social, salvo que las partes se acojan a la Ley 18.156.</w:t>
      </w:r>
    </w:p>
    <w:p>
      <w:r>
        <w:t xml:space="preserve">Cláusula de impuesto a la renta: el empleador(a) se obliga a responder por el pago de impuesto a la renta correspondiente a la remuneración del trabajador(a) extranjero(a), para rentas superiores a 13,5 UTM.</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