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(faenas de proceso continuo), la jornada ordinaria de trabajo será de </w:t>
      </w:r>
      <w:r w:rsidRPr="006567E3">
        <w:rPr>
          <w:b/>
          <w:bCs/>
        </w:rPr>
        <w:t>42 horas semanales</w:t>
      </w:r>
      <w:r w:rsidRPr="006567E3">
        <w:t xml:space="preserve"> (ajustándose automáticamente a los máximos legales vigentes según la gradualidad de la Ley 40 Horas), distribuidas de Lunes a Domingo, en un régimen de turnos rotativos.</w:t>
      </w:r>
    </w:p>
    <w:p w14:paraId="388F6F1C" w14:textId="77777777" w:rsidR="006567E3" w:rsidRPr="006567E3" w:rsidRDefault="006567E3" w:rsidP="006567E3">
      <w:r w:rsidRPr="006567E3">
        <w:t>La distribución de los turnos será asignada por la Empresa según las necesidades operativas, siendo los horarios referenciales los siguientes: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