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Lunes a Domingo, en un régimen de turnos rotativos.</w:t>
      </w:r>
    </w:p>
    <w:p w14:paraId="388F6F1C"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Adicionalmente, el Empleador pagará la gratificación legal mensual conforme al </w:t>
      </w:r>
      <w:r w:rsidRPr="006567E3">
        <w:rPr>
          <w:b/>
          <w:bCs/>
        </w:rPr>
        <w:t>Artículo 50 del Código del Trabajo</w:t>
      </w:r>
      <w:r w:rsidRPr="006567E3">
        <w:t xml:space="preserve">, equivalente al 25% de la remuneración mensual con el tope legal de </w:t>
      </w:r>
      <w:r w:rsidRPr="006567E3">
        <w:rPr>
          <w:b/>
          <w:bCs/>
        </w:rPr>
        <w:t>4,75 Ingresos Mínimos Mensuales</w:t>
      </w:r>
      <w:r w:rsidRPr="006567E3">
        <w:t xml:space="preserve"> (prorrateados).</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